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تقي ابن السيد حسين سيد العلماء
</w:t>
      </w:r>
    </w:p>
    <w:p>
      <w:pPr>
        <w:jc w:val="start"/>
        <w:bidi/>
      </w:pPr>
      <w:r>
        <w:rPr>
          <w:rFonts w:ascii="arial" w:hAnsi="arial" w:eastAsia="arial" w:cs="arial"/>
          <w:sz w:val="28"/>
          <w:szCs w:val="28"/>
          <w:b w:val="1"/>
          <w:bCs w:val="1"/>
          <w:rtl/>
        </w:rPr>
        <w:t xml:space="preserve">السيد محمد تقي ابن السيد حسين سيد العلماء
</w:t>
      </w:r>
    </w:p>
    <w:p>
      <w:pPr/>
      <w:r>
        <w:rPr/>
        <w:t xml:space="preserve">السيد محمد تقي ابن السيد حسين سيد العلماء ولد سنة 1234 وتوفي في 24 رمضان سنة 1289 وصلى عليه ابنه السيد محمد إبراهيم ودفن في حسينيته بلكهنوء</w:t>
      </w:r>
    </w:p>
    <w:p/>
    <w:p>
      <w:pPr/>
      <w:r>
        <w:rPr/>
        <w:t xml:space="preserve">كان عالما فقيها أصوليا متكلما أديبا مفسرا نحويا حكيما لم يعهد مثله في الجامعية وهو أعلم أحفاد السيد دلدار علي وأورعهم تقلد الزعامة الدينية بعد أبيه حتى تسلمها منه ولده السيد إبراهيم. قرأ على أبيه العلوم الأولية والنهائية حتى الفقه وأصوله وفرع منها في حداثة سنه وطار صيته في الآفاق وشرق وغرب ذكره وتخرج عنده جمع كثير من العلماء والمبرزين وخزانة كتبه من كبار المكاتب في الهند فيها من الكتب النادرة والمخطوطة في القرن الثالث والرابع من الهجرة وما يليها ما لا يوجد في غيرها ومنها الصحيفة السجادية بخط الشهيد الأول محمد بن مكي العاملي ومصحف في ثلاثين صفحة كل جزء في صفحة بخط أنيق وهو يروي عن أبيه بإجازة مفصلة وعن عمه سلطان العلماء السيد محمد وعن صاحب الجواهر وهذه الإجازات الثلاث قد طبعت في مجلد واحد بالهند. له من المؤلفات</w:t>
      </w:r>
    </w:p>
    <w:p/>
    <w:p>
      <w:pPr/>
      <w:r>
        <w:rPr/>
        <w:t xml:space="preserve">(1) ينابيع الأنوار في تفسير كلام الله الجبار برز منه مجلدان ضخمان إلى سورة آل عمران يشتمل على كثير من الحقائق وقد تصدى فيه للمناظرة مع فخر الدين الرازي في تفسيره الكبير</w:t>
      </w:r>
    </w:p>
    <w:p/>
    <w:p>
      <w:pPr/>
      <w:r>
        <w:rPr/>
        <w:t xml:space="preserve">(2) إرشاد المبتدين إلى أحكام الدين في الفقه</w:t>
      </w:r>
    </w:p>
    <w:p/>
    <w:p>
      <w:pPr/>
      <w:r>
        <w:rPr/>
        <w:t xml:space="preserve">(3) إرشاد المؤمنين في فضل صلاة الجمعة</w:t>
      </w:r>
    </w:p>
    <w:p/>
    <w:p>
      <w:pPr/>
      <w:r>
        <w:rPr/>
        <w:t xml:space="preserve">(4) حديقة الواعظين في المواعظ والحكم</w:t>
      </w:r>
    </w:p>
    <w:p/>
    <w:p>
      <w:pPr/>
      <w:r>
        <w:rPr/>
        <w:t xml:space="preserve">(5) حاشية على شرح الجغميني في الهيئة</w:t>
      </w:r>
    </w:p>
    <w:p/>
    <w:p>
      <w:pPr/>
      <w:r>
        <w:rPr/>
        <w:t xml:space="preserve">(6) الدعوات الفاخرة في الأدعية المأثورة عن العترة الطاهرة</w:t>
      </w:r>
    </w:p>
    <w:p/>
    <w:p>
      <w:pPr/>
      <w:r>
        <w:rPr/>
        <w:t xml:space="preserve">(7) رسالة في تحقيق بعض المسائل من صلاة الجماعة</w:t>
      </w:r>
    </w:p>
    <w:p/>
    <w:p>
      <w:pPr/>
      <w:r>
        <w:rPr/>
        <w:t xml:space="preserve">(8) رسالة في المواريث</w:t>
      </w:r>
    </w:p>
    <w:p/>
    <w:p>
      <w:pPr/>
      <w:r>
        <w:rPr/>
        <w:t xml:space="preserve">(9) شرح مقدمات الحدائق</w:t>
      </w:r>
    </w:p>
    <w:p/>
    <w:p>
      <w:pPr/>
      <w:r>
        <w:rPr/>
        <w:t xml:space="preserve">(10) ظهير الشيعة في أحكام الشريعة</w:t>
      </w:r>
    </w:p>
    <w:p/>
    <w:p>
      <w:pPr/>
      <w:r>
        <w:rPr/>
        <w:t xml:space="preserve">(11) العباب في علم الإعراب</w:t>
      </w:r>
    </w:p>
    <w:p/>
    <w:p>
      <w:pPr/>
      <w:r>
        <w:rPr/>
        <w:t xml:space="preserve">(12) غنية السائل في مسائل الفقه والكلام</w:t>
      </w:r>
    </w:p>
    <w:p/>
    <w:p>
      <w:pPr/>
      <w:r>
        <w:rPr/>
        <w:t xml:space="preserve">(13) غوث اللائذ وعون العائذ</w:t>
      </w:r>
    </w:p>
    <w:p/>
    <w:p>
      <w:pPr/>
      <w:r>
        <w:rPr/>
        <w:t xml:space="preserve">(14) الفرائد البهية في شرح الفوائد الصمدية</w:t>
      </w:r>
    </w:p>
    <w:p/>
    <w:p>
      <w:pPr/>
      <w:r>
        <w:rPr/>
        <w:t xml:space="preserve">(15) كتاب الدعوات والاستغاثات</w:t>
      </w:r>
    </w:p>
    <w:p/>
    <w:p>
      <w:pPr/>
      <w:r>
        <w:rPr/>
        <w:t xml:space="preserve">(16) كتاب الضراعات إلى قاضي الحاجات</w:t>
      </w:r>
    </w:p>
    <w:p/>
    <w:p>
      <w:pPr/>
      <w:r>
        <w:rPr/>
        <w:t xml:space="preserve">(17) منهج الطاعات</w:t>
      </w:r>
    </w:p>
    <w:p/>
    <w:p>
      <w:pPr/>
      <w:r>
        <w:rPr/>
        <w:t xml:space="preserve">(18) منتخب لآثار</w:t>
      </w:r>
    </w:p>
    <w:p/>
    <w:p>
      <w:pPr/>
      <w:r>
        <w:rPr/>
        <w:t xml:space="preserve">(19) مرشد المؤمنين في الفقه</w:t>
      </w:r>
    </w:p>
    <w:p/>
    <w:p>
      <w:pPr/>
      <w:r>
        <w:rPr/>
        <w:t xml:space="preserve">(20) رسالة في مسالة القطع</w:t>
      </w:r>
    </w:p>
    <w:p/>
    <w:p>
      <w:pPr/>
      <w:r>
        <w:rPr/>
        <w:t xml:space="preserve">(21) نخبة الدعوات</w:t>
      </w:r>
    </w:p>
    <w:p/>
    <w:p>
      <w:pPr/>
      <w:r>
        <w:rPr/>
        <w:t xml:space="preserve">(22) نزهة الواعظين في المواعظ والعبر</w:t>
      </w:r>
    </w:p>
    <w:p/>
    <w:p>
      <w:pPr/>
      <w:r>
        <w:rPr/>
        <w:t xml:space="preserve">(23) الوسائل إلى المسائل</w:t>
      </w:r>
    </w:p>
    <w:p/>
    <w:p>
      <w:pPr/>
      <w:r>
        <w:rPr/>
        <w:t xml:space="preserve">(24) هداية المسترشدين في شرح تبصرة المتعلمين برز منه مقدمة في أصول الفقه في كتاب ضخم لكنه لم يتسن له كتابة غير المقدمة</w:t>
      </w:r>
    </w:p>
    <w:p/>
    <w:p>
      <w:pPr/>
      <w:r>
        <w:rPr/>
        <w:t xml:space="preserve">(25) حاشية على شرح هداية الحكمة للصدر الشيرازي</w:t>
      </w:r>
    </w:p>
    <w:p/>
    <w:p>
      <w:pPr/>
      <w:r>
        <w:rPr/>
        <w:t xml:space="preserve">(26) الإرشاد إلى حسن الدعاء</w:t>
      </w:r>
    </w:p>
    <w:p/>
    <w:p>
      <w:pPr/>
      <w:r>
        <w:rPr/>
        <w:t xml:space="preserve">(27) نخبة المعجزات</w:t>
      </w:r>
    </w:p>
    <w:p/>
    <w:p>
      <w:pPr/>
      <w:r>
        <w:rPr/>
        <w:t xml:space="preserve">(28) رسالة في جواز الإئتمام بمن لم يتبين فسقه</w:t>
      </w:r>
    </w:p>
    <w:p/>
    <w:p>
      <w:pPr/>
      <w:r>
        <w:rPr/>
        <w:t xml:space="preserve">(29) كتاب الأسئلة والأجوبة.</w:t>
      </w:r>
    </w:p>
    <w:p>
      <w:pPr>
        <w:jc w:val="start"/>
        <w:bidi/>
      </w:pPr>
      <w:r>
        <w:rPr>
          <w:sz w:val="24"/>
          <w:szCs w:val="24"/>
          <w:b w:val="1"/>
          <w:bCs w:val="1"/>
          <w:rtl/>
        </w:rPr>
        <w:t xml:space="preserve">
أعيان الشيعة،(دار التعارف للمطبوعات - بيروت،1983،ط 1،ج 9،ص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2026-07-28T19:50:07+03:00</dcterms:created>
  <dcterms:modified xsi:type="dcterms:W3CDTF">2026-07-28T19:50:07+03:00</dcterms:modified>
</cp:coreProperties>
</file>

<file path=docProps/custom.xml><?xml version="1.0" encoding="utf-8"?>
<Properties xmlns="http://schemas.openxmlformats.org/officeDocument/2006/custom-properties" xmlns:vt="http://schemas.openxmlformats.org/officeDocument/2006/docPropsVTypes"/>
</file>