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محمد باقر ابن الشيخ فخر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محمد باقر ابن الشيخ فخر الدين
</w:t>
      </w:r>
    </w:p>
    <w:p>
      <w:pPr/>
      <w:r>
        <w:rPr/>
        <w:t xml:space="preserve">الشيخ محمد باقر ابن الشيخ فخر الدين ابن الشيخ نور الدين العاملي الدرفولي</w:t>
      </w:r>
    </w:p>
    <w:p/>
    <w:p>
      <w:pPr/>
      <w:r>
        <w:rPr/>
        <w:t xml:space="preserve">توفي سنة بضع وستين ومائة وألف.</w:t>
      </w:r>
    </w:p>
    <w:p/>
    <w:p>
      <w:pPr/>
      <w:r>
        <w:rPr/>
        <w:t xml:space="preserve">في ذيل إجازة السيد عبد الله بن نور الدين بن نعمة الله الجزائري: كان عالما متقنا ذكيا ذا طبع موزون معظم اشتغاله في أصبهان وكان كثير التعطيل.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9،ص 185)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2026-07-27T22:22:15+03:00</dcterms:created>
  <dcterms:modified xsi:type="dcterms:W3CDTF">2026-07-27T22:22:15+03:00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