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باقر بن محمد حسن بن أسد الله بن عبد الله القائني البرجندي
</w:t>
      </w:r>
    </w:p>
    <w:p>
      <w:pPr>
        <w:jc w:val="start"/>
        <w:bidi/>
      </w:pPr>
      <w:r>
        <w:rPr>
          <w:rFonts w:ascii="arial" w:hAnsi="arial" w:eastAsia="arial" w:cs="arial"/>
          <w:sz w:val="28"/>
          <w:szCs w:val="28"/>
          <w:b w:val="1"/>
          <w:bCs w:val="1"/>
          <w:rtl/>
        </w:rPr>
        <w:t xml:space="preserve">أبو الحسن الشيخ محمد باقر بن محمد
</w:t>
      </w:r>
    </w:p>
    <w:p>
      <w:pPr/>
      <w:r>
        <w:rPr/>
        <w:t xml:space="preserve">أبو الحسن الشيخ محمد باقر بن محمد حسن بن أسد الله بن عبد الله القائني البرجندي</w:t>
      </w:r>
    </w:p>
    <w:p/>
    <w:p>
      <w:pPr/>
      <w:r>
        <w:rPr/>
        <w:t xml:space="preserve">ولد في قرية جازار من قرى القائن سنة 1276 وتوفي سنة 1353 ببرجند ودفن خارج البلد.</w:t>
      </w:r>
    </w:p>
    <w:p/>
    <w:p>
      <w:pPr/>
      <w:r>
        <w:rPr/>
        <w:t xml:space="preserve">عالم فاضل متتبع ماهر فقيه محدث درس الصرف والنحو عند والده ثم ارتحل إلى المشهد الرضوي ثم إلى النجف وقرأ الأصول على الميرزا الرشتي والفقه على المولى محمد الإيرواني والميرزا حسين الطهراني ثم رحل إلى سامراء وحضر مجلس درس الميرزا الشيرازي، وكان من أساتيذه في علم الحديث المحدث النوري صاحب المستدرك.</w:t>
      </w:r>
    </w:p>
    <w:p/>
    <w:p>
      <w:pPr/>
      <w:r>
        <w:rPr/>
        <w:t xml:space="preserve">له من المؤلفات:</w:t>
      </w:r>
    </w:p>
    <w:p/>
    <w:p>
      <w:pPr/>
      <w:r>
        <w:rPr/>
        <w:t xml:space="preserve">(1) وثيقة الفقهاء</w:t>
      </w:r>
    </w:p>
    <w:p/>
    <w:p>
      <w:pPr/>
      <w:r>
        <w:rPr/>
        <w:t xml:space="preserve">(2) رسالة في صلاة الجمعة</w:t>
      </w:r>
    </w:p>
    <w:p/>
    <w:p>
      <w:pPr/>
      <w:r>
        <w:rPr/>
        <w:t xml:space="preserve">(3) رسالة في تزويج البكرة</w:t>
      </w:r>
    </w:p>
    <w:p/>
    <w:p>
      <w:pPr/>
      <w:r>
        <w:rPr/>
        <w:t xml:space="preserve">(4) رسالة في إرث الزوجة والحبوة</w:t>
      </w:r>
    </w:p>
    <w:p/>
    <w:p>
      <w:pPr/>
      <w:r>
        <w:rPr/>
        <w:t xml:space="preserve">(5) رسالة في طلاق زوجة الغائب</w:t>
      </w:r>
    </w:p>
    <w:p/>
    <w:p>
      <w:pPr/>
      <w:r>
        <w:rPr/>
        <w:t xml:space="preserve">(6) رسالة في منجزات المريض</w:t>
      </w:r>
    </w:p>
    <w:p/>
    <w:p>
      <w:pPr/>
      <w:r>
        <w:rPr/>
        <w:t xml:space="preserve">(7) رسالة في حرمة الترياك</w:t>
      </w:r>
    </w:p>
    <w:p/>
    <w:p>
      <w:pPr/>
      <w:r>
        <w:rPr/>
        <w:t xml:space="preserve">(8) رسالة في السير والسلوك</w:t>
      </w:r>
    </w:p>
    <w:p/>
    <w:p>
      <w:pPr/>
      <w:r>
        <w:rPr/>
        <w:t xml:space="preserve">(9) كتاب نور المعرفة</w:t>
      </w:r>
    </w:p>
    <w:p/>
    <w:p>
      <w:pPr/>
      <w:r>
        <w:rPr/>
        <w:t xml:space="preserve">(10) رسالة بداية المعرفة</w:t>
      </w:r>
    </w:p>
    <w:p/>
    <w:p>
      <w:pPr/>
      <w:r>
        <w:rPr/>
        <w:t xml:space="preserve">(11) رسالة ذخيرة المعاد في الإجازة</w:t>
      </w:r>
    </w:p>
    <w:p/>
    <w:p>
      <w:pPr/>
      <w:r>
        <w:rPr/>
        <w:t xml:space="preserve">(12) بغية الطالب في الإمام الغائب</w:t>
      </w:r>
    </w:p>
    <w:p/>
    <w:p>
      <w:pPr/>
      <w:r>
        <w:rPr/>
        <w:t xml:space="preserve">(13) أكفاء المكائد في رد الصوفية مطبوع</w:t>
      </w:r>
    </w:p>
    <w:p/>
    <w:p>
      <w:pPr/>
      <w:r>
        <w:rPr/>
        <w:t xml:space="preserve">(14) الكبريت الأحمر في شرائط المنبر مطبوع</w:t>
      </w:r>
    </w:p>
    <w:p/>
    <w:p>
      <w:pPr/>
      <w:r>
        <w:rPr/>
        <w:t xml:space="preserve">(15) مفتاح الفردوس وكتب ثلاثة في الرجال والدراية ورسالة في ترتيب أخبار الكتب الثلاثة وتهذيب الشيخ ورسالة وقائع الشهور والأيام والمحاكمة بين الأصوليين والأخباريين وفاكهة الذاكرين في الدعاء ورسالة في الرد على الملا شمس الهراتي الرضوي كما كتب شيئا في تفسير القرآن.</w:t>
      </w:r>
    </w:p>
    <w:p/>
    <w:p>
      <w:pPr/>
      <w:r>
        <w:rPr/>
        <w:t xml:space="preserve">وكان ممن يرى وجوب صلاة الجمعة عينا وكون العسر أحد موجبات الفسخ في النكاح وجواز طلاق زوجة الغائب وعدم الفرق بين العقار وغيره في ارث الزوجة ووجوب البقاء على تقليد الميت إذا كان أعلم.</w:t>
      </w:r>
    </w:p>
    <w:p>
      <w:pPr>
        <w:jc w:val="start"/>
        <w:bidi/>
      </w:pPr>
      <w:r>
        <w:rPr>
          <w:sz w:val="24"/>
          <w:szCs w:val="24"/>
          <w:b w:val="1"/>
          <w:bCs w:val="1"/>
          <w:rtl/>
        </w:rPr>
        <w:t xml:space="preserve">
أعيان الشيعة،(دار التعارف للمطبوعات - بيروت،1983،ط 1،ج 9،ص 181)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2026-07-29T11:37:50+03:00</dcterms:created>
  <dcterms:modified xsi:type="dcterms:W3CDTF">2026-07-29T11:37:50+03:00</dcterms:modified>
</cp:coreProperties>
</file>

<file path=docProps/custom.xml><?xml version="1.0" encoding="utf-8"?>
<Properties xmlns="http://schemas.openxmlformats.org/officeDocument/2006/custom-properties" xmlns:vt="http://schemas.openxmlformats.org/officeDocument/2006/docPropsVTypes"/>
</file>