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الفاضل الحكيم شمس الدين محمد بن أحمد الخفري
</w:t>
      </w:r>
    </w:p>
    <w:p>
      <w:pPr>
        <w:jc w:val="start"/>
        <w:bidi/>
      </w:pPr>
      <w:r>
        <w:rPr>
          <w:rFonts w:ascii="arial" w:hAnsi="arial" w:eastAsia="arial" w:cs="arial"/>
          <w:sz w:val="28"/>
          <w:szCs w:val="28"/>
          <w:b w:val="1"/>
          <w:bCs w:val="1"/>
          <w:rtl/>
        </w:rPr>
        <w:t xml:space="preserve">الفاضل الحكيم شمس الدين محمد بن أحمد الخفري
</w:t>
      </w:r>
    </w:p>
    <w:p>
      <w:pPr/>
      <w:r>
        <w:rPr/>
        <w:t xml:space="preserve">الفاضل الحكيم شمس الدين محمد بن أحمد الخفري تلميذ صدر المتألهين الأمير صدر الدين الدشتكي والد الأمير غياث الدين منصور ومعاصر المحقق الكركي توفي سنة 957 له سواد العين تعليقات على شرح حكمة العين.</w:t>
      </w:r>
    </w:p>
    <w:p>
      <w:pPr>
        <w:jc w:val="start"/>
        <w:bidi/>
      </w:pPr>
      <w:r>
        <w:rPr>
          <w:sz w:val="24"/>
          <w:szCs w:val="24"/>
          <w:b w:val="1"/>
          <w:bCs w:val="1"/>
          <w:rtl/>
        </w:rPr>
        <w:t xml:space="preserve">
أعيان الشيعة،(دار التعارف للمطبوعات - بيروت،1983،ط 1،ج 9،ص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2026-07-29T03:21:42+03:00</dcterms:created>
  <dcterms:modified xsi:type="dcterms:W3CDTF">2026-07-29T03:21:42+03:00</dcterms:modified>
</cp:coreProperties>
</file>

<file path=docProps/custom.xml><?xml version="1.0" encoding="utf-8"?>
<Properties xmlns="http://schemas.openxmlformats.org/officeDocument/2006/custom-properties" xmlns:vt="http://schemas.openxmlformats.org/officeDocument/2006/docPropsVTypes"/>
</file>