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الراوي
</w:t>
      </w:r>
    </w:p>
    <w:p>
      <w:pPr/>
      <w:r>
        <w:rPr/>
        <w:t xml:space="preserve">إبراهيم الراوي  إبراهيم بن محمد بن عبد الله بن رجب الراوي: متصوف، كان شيخ الطرقة الرفاعية ببغداد. ولد في قرية ’’راوة’’ بالعراق، ونسبته اليها، واستوطن بغداد سنة 1292 هـ ، ودرس وتوفي بها. له رسائل، منها (سور الشريعة في انتقاد نظريات أهل الهيئة والطبيعة - ط) و (الوراق البغدادية في الحوادث النجدية).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2026-09-16T08:43:18+03:00</dcterms:created>
  <dcterms:modified xsi:type="dcterms:W3CDTF">2026-09-16T08:43:18+03:00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