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عمران
</w:t>
      </w:r>
    </w:p>
    <w:p>
      <w:pPr>
        <w:jc w:val="start"/>
        <w:bidi/>
      </w:pPr>
      <w:r>
        <w:rPr>
          <w:rFonts w:ascii="arial" w:hAnsi="arial" w:eastAsia="arial" w:cs="arial"/>
          <w:sz w:val="28"/>
          <w:szCs w:val="28"/>
          <w:b w:val="1"/>
          <w:bCs w:val="1"/>
          <w:rtl/>
        </w:rPr>
        <w:t xml:space="preserve">الحسين بن عمران
</w:t>
      </w:r>
    </w:p>
    <w:p>
      <w:pPr/>
      <w:r>
        <w:rPr/>
        <w:t xml:space="preserve">الحسين بن عمران  الحسين بن عمرانت بن شاهين: ثاني أمراء بني شاهين أصحاب البطيحة (بين دجلة والفرات) ولي الإمرة بعد وفاة أبيه (سنة 369هـ) وطمع به عضد الدول بن بويه فوجه إليه جيشا هزمه الحسين. وانتهى الأمر بمصالحة عضد الدولة للحسين على مال يأخذه منه. وكان رضي الأخلاق، صالح السيرة، عادلا. قتله أخ له اسمه محمد، غيلة</w:t>
      </w:r>
    </w:p>
    <w:p>
      <w:pPr>
        <w:jc w:val="start"/>
        <w:bidi/>
      </w:pPr>
      <w:r>
        <w:rPr>
          <w:sz w:val="24"/>
          <w:szCs w:val="24"/>
          <w:b w:val="1"/>
          <w:bCs w:val="1"/>
          <w:rtl/>
        </w:rPr>
        <w:t xml:space="preserve">
الأعلام،(دار العلم للملايين - بيروت،2002،ط 15،ج 2،ص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2026-09-24T01:15:26+03:00</dcterms:created>
  <dcterms:modified xsi:type="dcterms:W3CDTF">2026-09-24T01:15:26+03:00</dcterms:modified>
</cp:coreProperties>
</file>

<file path=docProps/custom.xml><?xml version="1.0" encoding="utf-8"?>
<Properties xmlns="http://schemas.openxmlformats.org/officeDocument/2006/custom-properties" xmlns:vt="http://schemas.openxmlformats.org/officeDocument/2006/docPropsVTypes"/>
</file>