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الأجل السيد الشريف 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الأجل السيد الشريف علي بن محمد
</w:t>
      </w:r>
    </w:p>
    <w:p>
      <w:pPr/>
      <w:r>
        <w:rPr/>
        <w:t xml:space="preserve">الأمير الأجل السيد الشريف علي بن محمد ابن الرضا بن محمد الحسيني الموسوي الطوسي </w:t>
      </w:r>
    </w:p>
    <w:p/>
    <w:p>
      <w:pPr/>
      <w:r>
        <w:rPr/>
        <w:t xml:space="preserve">المعروف والده بدقر خوان المعالي</w:t>
      </w:r>
    </w:p>
    <w:p/>
    <w:p>
      <w:pPr/>
      <w:r>
        <w:rPr/>
        <w:t xml:space="preserve">له كتاب ألف جارية وجارية فرع منه ثاني المحرم سنة 654 توجد منه نسخة في فينا عاصمة النمسا.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2026-07-29T18:39:05+03:00</dcterms:created>
  <dcterms:modified xsi:type="dcterms:W3CDTF">2026-07-29T18:39:05+03:00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