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حسين رشدي
</w:t>
      </w:r>
    </w:p>
    <w:p>
      <w:pPr>
        <w:jc w:val="start"/>
        <w:bidi/>
      </w:pPr>
      <w:r>
        <w:rPr>
          <w:rFonts w:ascii="arial" w:hAnsi="arial" w:eastAsia="arial" w:cs="arial"/>
          <w:sz w:val="28"/>
          <w:szCs w:val="28"/>
          <w:b w:val="1"/>
          <w:bCs w:val="1"/>
          <w:rtl/>
        </w:rPr>
        <w:t xml:space="preserve">حسين رشدي
</w:t>
      </w:r>
    </w:p>
    <w:p>
      <w:pPr/>
      <w:r>
        <w:rPr/>
        <w:t xml:space="preserve">حسين رشدي  حسين رشدى (باشا) ابن طبوزاده محمد حمدى باشا: من رجال السياسة والإدارة بمصر. ولى رئاسة الوزارة فيها أربع مرات. وهو من أسرة عريقة بالمناصب. مولده ووفاته بالقاهرة. تعلم بها ثم بباريس. وولى وزارة الحقانية ثم رئاسة مجلس النظار (الوزراء) سنة 1914م. وفى أيام وزارته هذه خرج عباس حلمى الثانى من مصر، وعزل، وتولى حسين كامل السلطنة المصرية، وأحسن صاحب الترجمة معالجة الموقف بحزم. ثم كان مع عدلى يكن فى وفد الحكومة الرسمى إلى لندن، لمفاوضة سنة 1921م. وجعل من أعضاء مجلس الشيوخ سنة 1925م. ثم تولى رئاسته إلى أن توفى. وكان فيه وقار ومرح وذكاء نادر</w:t>
      </w:r>
    </w:p>
    <w:p>
      <w:pPr>
        <w:jc w:val="start"/>
        <w:bidi/>
      </w:pPr>
      <w:r>
        <w:rPr>
          <w:sz w:val="24"/>
          <w:szCs w:val="24"/>
          <w:b w:val="1"/>
          <w:bCs w:val="1"/>
          <w:rtl/>
        </w:rPr>
        <w:t xml:space="preserve">
الأعلام،(دار العلم للملايين - بيروت،2002،ط 15،ج 2،ص 237)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2026-09-23T23:31:11+03:00</dcterms:created>
  <dcterms:modified xsi:type="dcterms:W3CDTF">2026-09-23T23:31:11+03:00</dcterms:modified>
</cp:coreProperties>
</file>

<file path=docProps/custom.xml><?xml version="1.0" encoding="utf-8"?>
<Properties xmlns="http://schemas.openxmlformats.org/officeDocument/2006/custom-properties" xmlns:vt="http://schemas.openxmlformats.org/officeDocument/2006/docPropsVTypes"/>
</file>