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علي بن أحمد بن نوبخت الشاعر
</w:t>
      </w:r>
    </w:p>
    <w:p>
      <w:pPr>
        <w:jc w:val="start"/>
        <w:bidi/>
      </w:pPr>
      <w:r>
        <w:rPr>
          <w:rFonts w:ascii="arial" w:hAnsi="arial" w:eastAsia="arial" w:cs="arial"/>
          <w:sz w:val="28"/>
          <w:szCs w:val="28"/>
          <w:b w:val="1"/>
          <w:bCs w:val="1"/>
          <w:rtl/>
        </w:rPr>
        <w:t xml:space="preserve">أبو الحسن علي بن أحمد بن نوبخت الشاعر
</w:t>
      </w:r>
    </w:p>
    <w:p>
      <w:pPr/>
      <w:r>
        <w:rPr/>
        <w:t xml:space="preserve">أبو الحسن علي بن أحمد بن نوبخت الشاعر توفي بمصر في شعبان سنة 410 ونوبخت ضبط في إبراهيم بن إسحاق.</w:t>
      </w:r>
    </w:p>
    <w:p/>
    <w:p>
      <w:pPr/>
      <w:r>
        <w:rPr/>
        <w:t xml:space="preserve">وذكره ابن خلكان في وفيات الأعيان وقال كان شاعرا مجيدا إلا أنه كان قليل الحظ من الدنيا لم يزل رقيق الحال ضعيف المقدرة وتوفي وهو على حاله من الضرورة وشدة الفاقة رحمه الله تعالى وكفنه ولي الدولة أبو محمد أحمد بن علي المعروف بابن خيران الكاتب الشاعر متولي كتب السجلات عن الظاهر ابن الحاكم صاحب مصر.</w:t>
      </w:r>
    </w:p>
    <w:p>
      <w:pPr>
        <w:jc w:val="start"/>
        <w:bidi/>
      </w:pPr>
      <w:r>
        <w:rPr>
          <w:sz w:val="24"/>
          <w:szCs w:val="24"/>
          <w:b w:val="1"/>
          <w:bCs w:val="1"/>
          <w:rtl/>
        </w:rPr>
        <w:t xml:space="preserve">
أعيان الشيعة،(دار التعارف للمطبوعات - بيروت،1983،ط 1،ج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2026-07-29T06:17:28+03:00</dcterms:created>
  <dcterms:modified xsi:type="dcterms:W3CDTF">2026-07-29T06:17:28+03:00</dcterms:modified>
</cp:coreProperties>
</file>

<file path=docProps/custom.xml><?xml version="1.0" encoding="utf-8"?>
<Properties xmlns="http://schemas.openxmlformats.org/officeDocument/2006/custom-properties" xmlns:vt="http://schemas.openxmlformats.org/officeDocument/2006/docPropsVTypes"/>
</file>