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عبد الله بن شاه منصور القزويني المشهدي
</w:t>
      </w:r>
    </w:p>
    <w:p>
      <w:pPr>
        <w:jc w:val="start"/>
        <w:bidi/>
      </w:pPr>
      <w:r>
        <w:rPr>
          <w:rFonts w:ascii="arial" w:hAnsi="arial" w:eastAsia="arial" w:cs="arial"/>
          <w:sz w:val="28"/>
          <w:szCs w:val="28"/>
          <w:b w:val="1"/>
          <w:bCs w:val="1"/>
          <w:rtl/>
        </w:rPr>
        <w:t xml:space="preserve">مولانا عبد الله بن شاه منصور القزويني المشهدي
</w:t>
      </w:r>
    </w:p>
    <w:p>
      <w:pPr/>
      <w:r>
        <w:rPr/>
        <w:t xml:space="preserve">مولانا عبد الله بن شاه منصور القزويني المشهدي ولد بقزوين ثم جاور في المشهد الرضوي بطوس وله يد طولى في الفقه والحديث. له شرح ألفية ابن مالك بالفارسية ورسالة في إثبات إمامة أمير المؤمنين (ع) اسمها الغديرية فارسية وهو معاصر لصاحب أمل الآمل.</w:t>
      </w:r>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2026-07-29T00:18:29+03:00</dcterms:created>
  <dcterms:modified xsi:type="dcterms:W3CDTF">2026-07-29T00:18:29+03:00</dcterms:modified>
</cp:coreProperties>
</file>

<file path=docProps/custom.xml><?xml version="1.0" encoding="utf-8"?>
<Properties xmlns="http://schemas.openxmlformats.org/officeDocument/2006/custom-properties" xmlns:vt="http://schemas.openxmlformats.org/officeDocument/2006/docPropsVTypes"/>
</file>