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البراج
</w:t>
      </w:r>
    </w:p>
    <w:p>
      <w:pPr>
        <w:jc w:val="start"/>
        <w:bidi/>
      </w:pPr>
      <w:r>
        <w:rPr>
          <w:rFonts w:ascii="arial" w:hAnsi="arial" w:eastAsia="arial" w:cs="arial"/>
          <w:sz w:val="28"/>
          <w:szCs w:val="28"/>
          <w:b w:val="1"/>
          <w:bCs w:val="1"/>
          <w:rtl/>
        </w:rPr>
        <w:t xml:space="preserve">عبد العزيز بن البراج
</w:t>
      </w:r>
    </w:p>
    <w:p>
      <w:pPr/>
      <w:r>
        <w:rPr/>
        <w:t xml:space="preserve">عبد العزيز بن البراج القاضي سعد الدين عز المؤمنين أبو الضيغم عبد العزيز بن البراج </w:t>
      </w:r>
    </w:p>
    <w:p/>
    <w:p>
      <w:pPr/>
      <w:r>
        <w:rPr/>
        <w:t xml:space="preserve">وجه الأصحاب وفقيههم وكان قاضيا بطرابلس وله مصنفات منها المهذب، المعتمد، الجواهر، المقرب، عماد المحتاج في مناسك الحاج، الكامل في الفقه، الموجز في الفقه. كتاب في الكلام وكان في زمن بني عمار أمراء طرابلس.</w:t>
      </w:r>
    </w:p>
    <w:p>
      <w:pPr>
        <w:jc w:val="start"/>
        <w:bidi/>
      </w:pPr>
      <w:r>
        <w:rPr>
          <w:sz w:val="24"/>
          <w:szCs w:val="24"/>
          <w:b w:val="1"/>
          <w:bCs w:val="1"/>
          <w:rtl/>
        </w:rPr>
        <w:t xml:space="preserve">
أعيان الشيعة،(دار التعارف للمطبوعات - بيروت،1983،ط 1،ج 8،ص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w:t>
      </w:r>
    </w:p>
    <w:p>
      <w:pPr/>
      <w:r>
        <w:rPr/>
        <w:t xml:space="preserve">القاضي يراد به القاضي عبد العزيز بن البراج قاضي طرابلس.</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2026-07-28T19:46:37+03:00</dcterms:created>
  <dcterms:modified xsi:type="dcterms:W3CDTF">2026-07-28T19:46:37+03:00</dcterms:modified>
</cp:coreProperties>
</file>

<file path=docProps/custom.xml><?xml version="1.0" encoding="utf-8"?>
<Properties xmlns="http://schemas.openxmlformats.org/officeDocument/2006/custom-properties" xmlns:vt="http://schemas.openxmlformats.org/officeDocument/2006/docPropsVTypes"/>
</file>