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يعقوب
</w:t>
      </w:r>
    </w:p>
    <w:p>
      <w:pPr>
        <w:jc w:val="start"/>
        <w:bidi/>
      </w:pPr>
      <w:r>
        <w:rPr>
          <w:rFonts w:ascii="arial" w:hAnsi="arial" w:eastAsia="arial" w:cs="arial"/>
          <w:sz w:val="28"/>
          <w:szCs w:val="28"/>
          <w:b w:val="1"/>
          <w:bCs w:val="1"/>
          <w:rtl/>
        </w:rPr>
        <w:t xml:space="preserve">الحسن بن يعقوب
</w:t>
      </w:r>
    </w:p>
    <w:p>
      <w:pPr/>
      <w:r>
        <w:rPr/>
        <w:t xml:space="preserve">الحسن بن يعقوب  الحسن بن يعقوب بن أحمد، أبو بكر: أديب معتزلى، نيسابورى. كان أستاذا أهل نيسابورى فى الأدب، وكان غاليا فى الاعتزال. قال ابن السمعانى: له (تصانيف) حسنة</w:t>
      </w:r>
    </w:p>
    <w:p>
      <w:pPr>
        <w:jc w:val="start"/>
        <w:bidi/>
      </w:pPr>
      <w:r>
        <w:rPr>
          <w:sz w:val="24"/>
          <w:szCs w:val="24"/>
          <w:b w:val="1"/>
          <w:bCs w:val="1"/>
          <w:rtl/>
        </w:rPr>
        <w:t xml:space="preserve">
الأعلام،(دار العلم للملايين - بيروت،2002،ط 15،ج 2،ص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يعقوب بن أحمد الأديب أبو بكر
</w:t>
      </w:r>
    </w:p>
    <w:p>
      <w:pPr/>
      <w:r>
        <w:rPr/>
        <w:t xml:space="preserve">الحسن بن يعقوب بن أحمد الأديب أبو بكر توفي سنة 517.</w:t>
      </w:r>
    </w:p>
    <w:p/>
    <w:p>
      <w:pPr/>
      <w:r>
        <w:rPr/>
        <w:t xml:space="preserve">في لسان الميزان: سمع من أبيه وعبد الغافر بن محمد قال ابن السمعاني كان أستاذ أهل نيسابور في الأدب وكان غاليا في الاعتزال داعيا في التشيع وله تصانيف مات سنة 517 وقد أجاز لي ’’انتهى’’.</w:t>
      </w:r>
    </w:p>
    <w:p/>
    <w:p>
      <w:pPr/>
      <w:r>
        <w:rPr/>
        <w:t xml:space="preserve">وقوله غاليا في الاعتزال لا ينافي كونه داعيا في التشيع فإن المراد بالاعتزال هنا موافقة المعتزلة في بعض الأصول المعروفة لا موافقتهم في الإمامة وغيرها ومن هنا نسبوا جماعة من الشيعة إلى الاعتزال حتى نسبوا السيد المرتضى رأس الشيعة إلى ذلك.</w:t>
      </w:r>
    </w:p>
    <w:p>
      <w:pPr>
        <w:jc w:val="start"/>
        <w:bidi/>
      </w:pPr>
      <w:r>
        <w:rPr>
          <w:sz w:val="24"/>
          <w:szCs w:val="24"/>
          <w:b w:val="1"/>
          <w:bCs w:val="1"/>
          <w:rtl/>
        </w:rPr>
        <w:t xml:space="preserve">
أعيان الشيعة،(دار التعارف للمطبوعات - بيروت،1983،ط 1،ج 5،ص 393)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يعقوب بن أحمد بن محمد
</w:t>
      </w:r>
    </w:p>
    <w:p>
      <w:pPr/>
      <w:r>
        <w:rPr/>
        <w:t xml:space="preserve">الحسن بن يعقوب بن أحمد بن محمد أبو بكر الأديب ابن الأديب: كان أستاذ أهل نيسابور في عصره. كان عالما في الاعتزال داعيا إلى الشيعة. رأيت شيئا من خطه وصورة سماع تاريخه سنة سبع عشرة وخمسمائة وفيها مات.</w:t>
      </w:r>
    </w:p>
    <w:p>
      <w:pPr>
        <w:jc w:val="start"/>
        <w:bidi/>
      </w:pPr>
      <w:r>
        <w:rPr>
          <w:sz w:val="24"/>
          <w:szCs w:val="24"/>
          <w:b w:val="1"/>
          <w:bCs w:val="1"/>
          <w:rtl/>
        </w:rPr>
        <w:t xml:space="preserve">
معجم الأدباء / إرشاد الأريب إلى معرفة الأديب،(دار الغرب الإسلامي - بيروت،1993،ط 0،ج 3،ص 1025)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2026-09-23T21:23:15+03:00</dcterms:created>
  <dcterms:modified xsi:type="dcterms:W3CDTF">2026-09-23T21:23:15+03:00</dcterms:modified>
</cp:coreProperties>
</file>

<file path=docProps/custom.xml><?xml version="1.0" encoding="utf-8"?>
<Properties xmlns="http://schemas.openxmlformats.org/officeDocument/2006/custom-properties" xmlns:vt="http://schemas.openxmlformats.org/officeDocument/2006/docPropsVTypes"/>
</file>