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نوح
</w:t>
      </w:r>
    </w:p>
    <w:p>
      <w:pPr>
        <w:jc w:val="start"/>
        <w:bidi/>
      </w:pPr>
      <w:r>
        <w:rPr>
          <w:rFonts w:ascii="arial" w:hAnsi="arial" w:eastAsia="arial" w:cs="arial"/>
          <w:sz w:val="28"/>
          <w:szCs w:val="28"/>
          <w:b w:val="1"/>
          <w:bCs w:val="1"/>
          <w:rtl/>
        </w:rPr>
        <w:t xml:space="preserve">ابن نوح
</w:t>
      </w:r>
    </w:p>
    <w:p>
      <w:pPr/>
      <w:r>
        <w:rPr/>
        <w:t xml:space="preserve">ابن نوح  حسن بن نوح بن يوسف بن محمد: من علماء الإسماعيلية الباطنية. له كتاب (الأزهار ومجموع الأنوار - خ) ثلاثة أجزاء منه، وهو فى سبعة. تحدث فى الجزء الأول من الثلاثة الموجودة عن دراسته ومن أخذ عنهم ثم سير بعض الأنبياء والأئمة والدعاة، وفى الثاني عن دعاة اليمن بعد موت الآمر حتى عهد الداعى إدريس، وفى الثالث عن أقوال الدعاة وتواريخهم</w:t>
      </w:r>
    </w:p>
    <w:p>
      <w:pPr>
        <w:jc w:val="start"/>
        <w:bidi/>
      </w:pPr>
      <w:r>
        <w:rPr>
          <w:sz w:val="24"/>
          <w:szCs w:val="24"/>
          <w:b w:val="1"/>
          <w:bCs w:val="1"/>
          <w:rtl/>
        </w:rPr>
        <w:t xml:space="preserve">
الأعلام،(دار العلم للملايين - بيروت،2002،ط 15،ج 2،ص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حسن بن نوح بن يوسف
</w:t>
      </w:r>
    </w:p>
    <w:p>
      <w:pPr/>
      <w:r>
        <w:rPr/>
        <w:t xml:space="preserve">الشيخ حسن بن نوح بن يوسف بن محمد من آدم الهندي البهروجي</w:t>
      </w:r>
    </w:p>
    <w:p/>
    <w:p>
      <w:pPr/>
      <w:r>
        <w:rPr/>
        <w:t xml:space="preserve">هو من علماء الإسماعيلية في الذريعة أن الدكتور أيوانف الهندي المولود سنة 1305 قال في فهرست كتب الإسماعيلية المطبوع في لندن سنة 1252 أن كتاب الأزهار ومجمع الأنوار الملقوطة من بساتين الأسرار ومجامع فواكه الروحانية والثمار تأليف الشيخ حسن بن نوح بن يوسف ابن محمد بن أدم الهندي البهروجي هو في سبعة مجلدات صغار يوجد عندي الأول والثاني والثالث منه أوله (الحمد الله الذي علم بالقلم علم الإنسان ما لم يعلم) وقال أن سادس مجلداته في النصائح والأخلاق (اه) وربما يظن من توافق اسم المترجم واسم كتابه لاسم المتقدم قبله واسم كتابه أنهما شخص واحد لكن ينافي ذلك أن كتاب المترجم في سبعة مجلدات صغار والسادس منها في النصائح والأخلاق وذاك قد اشتمل المجلد السادس منه على 62 جزءا في بعضها خطب من نهج البلاغة وحكم قصيرة ومع ذلك فالاتحاد غير بعيد بأن يكون من قال أن مجلداته سبعة اطلع على سبعة منها فظنها جميع مجلداته وأن يكون السادس منها هو ما اشتمل على خطب من نهج وحكم قصيرة فصح بأن توصف أنها في النصائح والأخلاق والمجلد الذي كتب عليه أنه المجلد السادس لعل تلك الكتابة من غير المؤلف أو أن يكون المؤلف قد قسم أجزاء كتابه إلى سبع مجلدات باعتبار أن كل جزء منها 16 صفحة فتكون 7 مجلدات صغار والله أعلم.</w:t>
      </w:r>
    </w:p>
    <w:p>
      <w:pPr>
        <w:jc w:val="start"/>
        <w:bidi/>
      </w:pPr>
      <w:r>
        <w:rPr>
          <w:sz w:val="24"/>
          <w:szCs w:val="24"/>
          <w:b w:val="1"/>
          <w:bCs w:val="1"/>
          <w:rtl/>
        </w:rPr>
        <w:t xml:space="preserve">
أعيان الشيعة،(دار التعارف للمطبوعات - بيروت،1983،ط 1،ج 5،ص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2026-09-23T20:07:59+03:00</dcterms:created>
  <dcterms:modified xsi:type="dcterms:W3CDTF">2026-09-23T20:07:59+03:00</dcterms:modified>
</cp:coreProperties>
</file>

<file path=docProps/custom.xml><?xml version="1.0" encoding="utf-8"?>
<Properties xmlns="http://schemas.openxmlformats.org/officeDocument/2006/custom-properties" xmlns:vt="http://schemas.openxmlformats.org/officeDocument/2006/docPropsVTypes"/>
</file>