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التاكشتي
</w:t>
      </w:r>
    </w:p>
    <w:p>
      <w:pPr>
        <w:jc w:val="start"/>
        <w:bidi/>
      </w:pPr>
      <w:r>
        <w:rPr>
          <w:rFonts w:ascii="arial" w:hAnsi="arial" w:eastAsia="arial" w:cs="arial"/>
          <w:sz w:val="28"/>
          <w:szCs w:val="28"/>
          <w:b w:val="1"/>
          <w:bCs w:val="1"/>
          <w:rtl/>
        </w:rPr>
        <w:t xml:space="preserve">التاكشتي
</w:t>
      </w:r>
    </w:p>
    <w:p>
      <w:pPr/>
      <w:r>
        <w:rPr/>
        <w:t xml:space="preserve">التاكشتي  إبراهيم بن محمد، أبو إسحاق الظريفي، التاكشتي: صوفي أديب من أهل تاكشت في المغرب. ولد بها، وتوفي بمصر عائدا من الحج ونقل إلى بلدته فدفن فيها. له كتب، منها (تحفة الحبيب) في نظم المغني. ذكره المختار السوسي. وقال الحضيكي: وله حواش وطرروتنبيهات على مختصر خليل عجيبة.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2026-09-16T08:40:00+03:00</dcterms:created>
  <dcterms:modified xsi:type="dcterms:W3CDTF">2026-09-16T08:40:00+03:00</dcterms:modified>
</cp:coreProperties>
</file>

<file path=docProps/custom.xml><?xml version="1.0" encoding="utf-8"?>
<Properties xmlns="http://schemas.openxmlformats.org/officeDocument/2006/custom-properties" xmlns:vt="http://schemas.openxmlformats.org/officeDocument/2006/docPropsVTypes"/>
</file>