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يعيش
</w:t>
      </w:r>
    </w:p>
    <w:p>
      <w:pPr>
        <w:jc w:val="start"/>
        <w:bidi/>
      </w:pPr>
      <w:r>
        <w:rPr>
          <w:rFonts w:ascii="arial" w:hAnsi="arial" w:eastAsia="arial" w:cs="arial"/>
          <w:sz w:val="28"/>
          <w:szCs w:val="28"/>
          <w:b w:val="1"/>
          <w:bCs w:val="1"/>
          <w:rtl/>
        </w:rPr>
        <w:t xml:space="preserve">ابن يعيش
</w:t>
      </w:r>
    </w:p>
    <w:p>
      <w:pPr/>
      <w:r>
        <w:rPr/>
        <w:t xml:space="preserve">ابن يعيش  الحسن بن محمد بن الحسن بن سابق الدين، ابن يعيش الصنعانى: فقيه الزيدية في عصره. من أهل صنعاء. ولى قضاءها إلى أن مات. له (التذكرة الفاخرة) فقه، و (تعليق لى اللمع) و (مختصر الانتصار، للإيام يحيى)</w:t>
      </w:r>
    </w:p>
    <w:p>
      <w:pPr>
        <w:jc w:val="start"/>
        <w:bidi/>
      </w:pPr>
      <w:r>
        <w:rPr>
          <w:sz w:val="24"/>
          <w:szCs w:val="24"/>
          <w:b w:val="1"/>
          <w:bCs w:val="1"/>
          <w:rtl/>
        </w:rPr>
        <w:t xml:space="preserve">
الأعلام،(دار العلم للملايين - بيروت،2002،ط 15،ج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محمد بن الحسن بن سابق الدين بن علي بن أحمد بن أسعد بن أبي السعود بن يعيش المعروف بالنحوي
</w:t>
      </w:r>
    </w:p>
    <w:p>
      <w:pPr/>
      <w:r>
        <w:rPr/>
        <w:t xml:space="preserve">الحسن بن محمد بن الحسن بن سابق الدين بن علي بن أحمد بن أسعد بن أبي السعود بن يعيش المعروف بالنحوي </w:t>
      </w:r>
    </w:p>
    <w:p/>
    <w:p>
      <w:pPr/>
      <w:r>
        <w:rPr/>
        <w:t xml:space="preserve">الصنعاني الزيدي عالم الزيدية في زمانه وشيخ شيوخهم وناشر علومهم كان يحضر حلقة تدريسه زهاء ثمانين عالما وله تحقيق وإتقان لاسيما لعلم الفقه يفوق الرصف وله مصنفات منها في الفقه كتاب التذكرة الفاخرة أودعه من المسائل ما لا يحيط به الحصر مع إيجاز وحسن تعبير وهو كان مدرس الزيدية وعمدتهم حتى اختصره الإمام المهدي أحمد بن يحيى وجرد منه الأزهار فمال الطلبة من حينئذٍ إلى هذا المختصر وله تفسير وله تعليق على اللمع واختصر الانتصار للإمام يحيى في مجلد وكان زاهداً ورعاً متقشفاً متواضعاً وولى قضاء صنعاء وانتفع الناس به وكان يأكل من عمل يده واستمر على حاله الجميل إلى أن مات في سنة 791 احدى وتسعين وسبعمائة وقبر في عدني صنعاء قريب من باب اليمن وقبره مشهور مزور</w:t>
      </w:r>
    </w:p>
    <w:p>
      <w:pPr>
        <w:jc w:val="start"/>
        <w:bidi/>
      </w:pPr>
      <w:r>
        <w:rPr>
          <w:sz w:val="24"/>
          <w:szCs w:val="24"/>
          <w:b w:val="1"/>
          <w:bCs w:val="1"/>
          <w:rtl/>
        </w:rPr>
        <w:t xml:space="preserve">
البدر الطالع بمحاسن من بعد القرن السابع،(دار المعرفة - بيروت،0،ط 1،ج 1،ص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2026-09-23T19:13:27+03:00</dcterms:created>
  <dcterms:modified xsi:type="dcterms:W3CDTF">2026-09-23T19:13:27+03:00</dcterms:modified>
</cp:coreProperties>
</file>

<file path=docProps/custom.xml><?xml version="1.0" encoding="utf-8"?>
<Properties xmlns="http://schemas.openxmlformats.org/officeDocument/2006/custom-properties" xmlns:vt="http://schemas.openxmlformats.org/officeDocument/2006/docPropsVTypes"/>
</file>