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سعيد بن محمد بن أحمد بن محمد
</w:t>
      </w:r>
    </w:p>
    <w:p>
      <w:pPr>
        <w:jc w:val="start"/>
        <w:bidi/>
      </w:pPr>
      <w:r>
        <w:rPr>
          <w:rFonts w:ascii="arial" w:hAnsi="arial" w:eastAsia="arial" w:cs="arial"/>
          <w:sz w:val="28"/>
          <w:szCs w:val="28"/>
          <w:b w:val="1"/>
          <w:bCs w:val="1"/>
          <w:rtl/>
        </w:rPr>
        <w:t xml:space="preserve">الشيخ سعيد بن محمد بن أحمد بن محمد
</w:t>
      </w:r>
    </w:p>
    <w:p>
      <w:pPr/>
      <w:r>
        <w:rPr/>
        <w:t xml:space="preserve">الشيخ سعيد بن محمد بن أحمد بن محمد ابن أحمد بن الحسن بن محمد بن علي بن محمد </w:t>
      </w:r>
    </w:p>
    <w:p/>
    <w:p>
      <w:pPr/>
      <w:r>
        <w:rPr/>
        <w:t xml:space="preserve">ابن الحسين آل الحر العاملي الجبعي</w:t>
      </w:r>
    </w:p>
    <w:p/>
    <w:p>
      <w:pPr/>
      <w:r>
        <w:rPr/>
        <w:t xml:space="preserve">ولد في بعلبك سنة 1219 وتوفي سنة 1269 وكان أبوه قد هرب في فتنة الجزار إلى بلاد بعلبك والتجأ إلى الأمراء الحرافشة فأكرموه وصادف يوم ولادته البشارة بهلاك الجزار فسناه سعيدا بهذه المناسبة كما ذكرناه في ترجمة أبيه وكان من أهل العلم والفضل وكان نائبا على قضاة جبع بمرسوم من عبد الله باشا ابن علي باشا الخزاندار صاحب عكا مؤرخ في سنة 1240.</w:t>
      </w:r>
    </w:p>
    <w:p/>
    <w:p>
      <w:pPr/>
      <w:r>
        <w:rPr/>
        <w:t xml:space="preserve">قال الشيخ محمد آل مغنية في كتابه جواهر الحكم: وممن عاصرته سعيد بن الحر كان جوادا كريما حسن الأخلاق واسع النفس رحب الصدر طلق المحيا أمره في البذل والعطاء وقرى الضيفان فوق الوصف لو سردت بعض مكارم هذا الشيخ الوقور لقلت بالغ وكما يعلم الله مهما حررت وسطرت لكان الجزء من المئين كان جبل عامل بمدة العشائر وما هي عليه من الرونق والتقدم والعمران وشيخ مشايخ العشائر يومئذ حمد البك الشهير صاحب الاسم بجميع الأنحاء حاكما بقضاء جبع علاوة على تبنين وملحقاتها يلزم الأمر إلى اجتماع عمومي في نفس جبع لأنها أم القرى فحينما تجتمع الوفود ترى هذا الشيخ مقبلا ضاحكا مستبشرا غير منهمك ولا شنك تمر القضية بضعة أيام وتتوجه الناس في طبقاتهم ومنازل اعتبارهم شاكرين غريقي المكارم والألطاف كلا ينشر مدائح وشكرا ويذكر محاسن ومجدا وفخرا.</w:t>
      </w:r>
    </w:p>
    <w:p>
      <w:pPr>
        <w:jc w:val="start"/>
        <w:bidi/>
      </w:pPr>
      <w:r>
        <w:rPr>
          <w:sz w:val="24"/>
          <w:szCs w:val="24"/>
          <w:b w:val="1"/>
          <w:bCs w:val="1"/>
          <w:rtl/>
        </w:rPr>
        <w:t xml:space="preserve">
أعيان الشيعة،(دار التعارف للمطبوعات - بيروت،1983،ط 1،ج 7،ص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2026-07-29T12:11:42+03:00</dcterms:created>
  <dcterms:modified xsi:type="dcterms:W3CDTF">2026-07-29T12:11:42+03:00</dcterms:modified>
</cp:coreProperties>
</file>

<file path=docProps/custom.xml><?xml version="1.0" encoding="utf-8"?>
<Properties xmlns="http://schemas.openxmlformats.org/officeDocument/2006/custom-properties" xmlns:vt="http://schemas.openxmlformats.org/officeDocument/2006/docPropsVTypes"/>
</file>