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التامودزتي
</w:t>
      </w:r>
    </w:p>
    <w:p>
      <w:pPr>
        <w:jc w:val="start"/>
        <w:bidi/>
      </w:pPr>
      <w:r>
        <w:rPr>
          <w:rFonts w:ascii="arial" w:hAnsi="arial" w:eastAsia="arial" w:cs="arial"/>
          <w:sz w:val="28"/>
          <w:szCs w:val="28"/>
          <w:b w:val="1"/>
          <w:bCs w:val="1"/>
          <w:rtl/>
        </w:rPr>
        <w:t xml:space="preserve">التامودزتي
</w:t>
      </w:r>
    </w:p>
    <w:p>
      <w:pPr/>
      <w:r>
        <w:rPr/>
        <w:t xml:space="preserve">التامودزتي  الحسن بن مبارك بن محمد بن عبد الرحمن، أبو علي التامودزني: صوفي من فقهاء المالكية من أهل تامودزت، في سوس بالمغرب. تخرج (نحو 1290) مجازا بالفقه. وقصده الناس للنوازل (الفتاوي) وتصوف وحج (1307هـ) وتنقل في البلدان وكان مع أحمد الهيبة (انظر ترجمته) ردحا من الزمن. وأقام على الأكثر في الزاوية (التامودزتية) وصنف كتبا، منها (شرح قسم من أرجوزة عبد الرحمن الجشتيمي - خ) رآه المختار السوسي. ووصف مصنفه بأنه (جنيد) عصره، وأنه (برجوعه إلى السنة وإلى تنقية التصوف من بعض بدع دخلت فيه، أعظم رجل متحين للحق وإن خالفه كبار أمثاله) توفي بقرية (ايدغ) في بلدة (أولاد جرار) ثم نقل إلى بلدته (تامودزت) في بعقيلة. وله نظم. </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2026-09-22T15:15:02+03:00</dcterms:created>
  <dcterms:modified xsi:type="dcterms:W3CDTF">2026-09-22T15:15:02+03:00</dcterms:modified>
</cp:coreProperties>
</file>

<file path=docProps/custom.xml><?xml version="1.0" encoding="utf-8"?>
<Properties xmlns="http://schemas.openxmlformats.org/officeDocument/2006/custom-properties" xmlns:vt="http://schemas.openxmlformats.org/officeDocument/2006/docPropsVTypes"/>
</file>