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الداعي العلوي
</w:t>
      </w:r>
    </w:p>
    <w:p>
      <w:pPr>
        <w:jc w:val="start"/>
        <w:bidi/>
      </w:pPr>
      <w:r>
        <w:rPr>
          <w:rFonts w:ascii="arial" w:hAnsi="arial" w:eastAsia="arial" w:cs="arial"/>
          <w:sz w:val="28"/>
          <w:szCs w:val="28"/>
          <w:b w:val="1"/>
          <w:bCs w:val="1"/>
          <w:rtl/>
        </w:rPr>
        <w:t xml:space="preserve">الداعي العلوي
</w:t>
      </w:r>
    </w:p>
    <w:p>
      <w:pPr/>
      <w:r>
        <w:rPr/>
        <w:t xml:space="preserve">الداعي العلوي  الحسن بن قاسم العلوى: آخر رجال الدولة العلوية في طبرستان. ولاه الناصر العلوى قيادة جيشه، وزوجه ابنته. ولما قتل الناصر (سنة 304هـ) قام (الداعى) بالأمر بعده، فاستولى على الرى وقزوين وزنجان وأبهر وقم، واستتب له الأمر. وكان عادلا مقداما، أكثر جيشه من مسلمى الديلم. وظهر فى أيامه خارج من الدجيلم اسمه (أسفار ابن شيرويه) فامتلك طبرستان. وحاربه الداعى بالقرب من سارية (بطبرستان) فانحاز فريق ممن كان معه من الديلم، إلى أسفار. وضعف أمر الداعى فقتل</w:t>
      </w:r>
    </w:p>
    <w:p>
      <w:pPr>
        <w:jc w:val="start"/>
        <w:bidi/>
      </w:pPr>
      <w:r>
        <w:rPr>
          <w:sz w:val="24"/>
          <w:szCs w:val="24"/>
          <w:b w:val="1"/>
          <w:bCs w:val="1"/>
          <w:rtl/>
        </w:rPr>
        <w:t xml:space="preserve">
الأعلام،(دار العلم للملايين - بيروت،2002،ط 15،ج 2،ص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2026-09-22T15:16:54+03:00</dcterms:created>
  <dcterms:modified xsi:type="dcterms:W3CDTF">2026-09-22T15:16:54+03:00</dcterms:modified>
</cp:coreProperties>
</file>

<file path=docProps/custom.xml><?xml version="1.0" encoding="utf-8"?>
<Properties xmlns="http://schemas.openxmlformats.org/officeDocument/2006/custom-properties" xmlns:vt="http://schemas.openxmlformats.org/officeDocument/2006/docPropsVTypes"/>
</file>