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ماكولا
</w:t>
      </w:r>
    </w:p>
    <w:p>
      <w:pPr>
        <w:jc w:val="start"/>
        <w:bidi/>
      </w:pPr>
      <w:r>
        <w:rPr>
          <w:rFonts w:ascii="arial" w:hAnsi="arial" w:eastAsia="arial" w:cs="arial"/>
          <w:sz w:val="28"/>
          <w:szCs w:val="28"/>
          <w:b w:val="1"/>
          <w:bCs w:val="1"/>
          <w:rtl/>
        </w:rPr>
        <w:t xml:space="preserve">ابن ماكولا
</w:t>
      </w:r>
    </w:p>
    <w:p>
      <w:pPr/>
      <w:r>
        <w:rPr/>
        <w:t xml:space="preserve">ابن ماكولا الحسن بن على بن جعفر، أبو على ابن ماكولا، ويلقب يمين الدولة: وزير، من بيت رئاسة، من نسل أبى دلف العجلى. كان مع (جلال الدولة) البويهى بالبصرة، واستوزره جلال الدولة سنة 417، ولقبه (يمين الدولة وزير الوزراء) فكان معه فيها، ثم في بغداد، بعد ولايته الملك في أيام الخليفة القادر بالله. وسيره جلال الدولة سنة 421 إلى البطائح، فامتلكها، وإلى البصرة - وكان قد استولى عليها الملك أبو كاليجار - فقاتله نائبه، وكسر الحسن وأسر، وأرسل أبى كاليجار، وهو بالأهواز، فأطلقه؛ فلم يلبث أن اغتاله بها غلام له اسمه عدنان</w:t>
      </w:r>
    </w:p>
    <w:p>
      <w:pPr>
        <w:jc w:val="start"/>
        <w:bidi/>
      </w:pPr>
      <w:r>
        <w:rPr>
          <w:sz w:val="24"/>
          <w:szCs w:val="24"/>
          <w:b w:val="1"/>
          <w:bCs w:val="1"/>
          <w:rtl/>
        </w:rPr>
        <w:t xml:space="preserve">
الأعلام،(دار العلم للملايين - بيروت،2002،ط 15،ج 2،ص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2026-09-22T12:52:02+03:00</dcterms:created>
  <dcterms:modified xsi:type="dcterms:W3CDTF">2026-09-22T12:52:02+03:00</dcterms:modified>
</cp:coreProperties>
</file>

<file path=docProps/custom.xml><?xml version="1.0" encoding="utf-8"?>
<Properties xmlns="http://schemas.openxmlformats.org/officeDocument/2006/custom-properties" xmlns:vt="http://schemas.openxmlformats.org/officeDocument/2006/docPropsVTypes"/>
</file>