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الشهيد الثاني
</w:t>
      </w:r>
    </w:p>
    <w:p>
      <w:pPr>
        <w:jc w:val="start"/>
        <w:bidi/>
      </w:pPr>
      <w:r>
        <w:rPr>
          <w:rFonts w:ascii="arial" w:hAnsi="arial" w:eastAsia="arial" w:cs="arial"/>
          <w:sz w:val="28"/>
          <w:szCs w:val="28"/>
          <w:b w:val="1"/>
          <w:bCs w:val="1"/>
          <w:rtl/>
        </w:rPr>
        <w:t xml:space="preserve">ابن الشهيد الثاني
</w:t>
      </w:r>
    </w:p>
    <w:p>
      <w:pPr/>
      <w:r>
        <w:rPr/>
        <w:t xml:space="preserve">ابن الشهيد الثاني  الحسن بن زين الدين الشهيد الثاني ابن علي بن أحمد الشامي العاملي، أبو منصور: فقيه إمامي، له علم بالأدب والشعر. ولد في جبع (من قرى جبل عامل، بلبنان) وانتقل إلى النجف (في العراق) فأقام زمنا. زعاد إلى جبع فتوفى بها. من كتبه (منتقى الجمان في الأحاديث الصحاح والحسان - خ) مجلدان منه، في العبادات ولم يتمه، و (معالم الدين) ظهر منه جزآن أحدهما (معالم الأصول - ط) في أصول الفقه، والثاني (معالم الفقه - ط) في الفروع؛ وله (التحرير الطاووسي) في الرجال، و (مناسك الحج) ز (مجموع - خ) في الأدب، و (ديوان شعر) كبير</w:t>
      </w:r>
    </w:p>
    <w:p>
      <w:pPr>
        <w:jc w:val="start"/>
        <w:bidi/>
      </w:pPr>
      <w:r>
        <w:rPr>
          <w:sz w:val="24"/>
          <w:szCs w:val="24"/>
          <w:b w:val="1"/>
          <w:bCs w:val="1"/>
          <w:rtl/>
        </w:rPr>
        <w:t xml:space="preserve">
الأعلام،(دار العلم للملايين - بيروت،2002،ط 15،ج 2،ص 192)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2026-09-22T10:33:30+03:00</dcterms:created>
  <dcterms:modified xsi:type="dcterms:W3CDTF">2026-09-22T10:33:30+03:00</dcterms:modified>
</cp:coreProperties>
</file>

<file path=docProps/custom.xml><?xml version="1.0" encoding="utf-8"?>
<Properties xmlns="http://schemas.openxmlformats.org/officeDocument/2006/custom-properties" xmlns:vt="http://schemas.openxmlformats.org/officeDocument/2006/docPropsVTypes"/>
</file>