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الوزيري
</w:t>
      </w:r>
    </w:p>
    <w:p>
      <w:pPr>
        <w:jc w:val="start"/>
        <w:bidi/>
      </w:pPr>
      <w:r>
        <w:rPr>
          <w:rFonts w:ascii="arial" w:hAnsi="arial" w:eastAsia="arial" w:cs="arial"/>
          <w:sz w:val="28"/>
          <w:szCs w:val="28"/>
          <w:b w:val="1"/>
          <w:bCs w:val="1"/>
          <w:rtl/>
        </w:rPr>
        <w:t xml:space="preserve">الوزيري
</w:t>
      </w:r>
    </w:p>
    <w:p>
      <w:pPr/>
      <w:r>
        <w:rPr/>
        <w:t xml:space="preserve">الوزيري  إبراهيم بن محمد بن عبد الله بن الهادي ابن إبراهيم، الوزيري فاضل، من مجتهدي الزيدية باليمن. كان له اشتغال بالتاريخ، فنظم قصيدة عارض بها البسامة، ضمنها طرفا من اخبار الصحابة واستوفى جميع الدعاة من الفاطميين. وله (الفصول اللؤلؤية) في الأصول، و (الهداية) فقه. توفي بصنعاء. </w:t>
      </w:r>
    </w:p>
    <w:p>
      <w:pPr>
        <w:jc w:val="start"/>
        <w:bidi/>
      </w:pPr>
      <w:r>
        <w:rPr>
          <w:sz w:val="24"/>
          <w:szCs w:val="24"/>
          <w:b w:val="1"/>
          <w:bCs w:val="1"/>
          <w:rtl/>
        </w:rPr>
        <w:t xml:space="preserve">
الأعلام،(دار العلم للملايين - بيروت،2002،ط 15،ج 1،ص 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محمد بن عبد الله بن الهادي بن إبراهيم بن علي بن المرتضى الوزيري
</w:t>
      </w:r>
    </w:p>
    <w:p>
      <w:pPr/>
      <w:r>
        <w:rPr/>
        <w:t xml:space="preserve">إبراهيم بن محمد بن عبد الله بن الهادي بن إبراهيم بن علي بن المرتضى الوزيري </w:t>
      </w:r>
    </w:p>
    <w:p/>
    <w:p>
      <w:pPr/>
      <w:r>
        <w:rPr/>
        <w:t xml:space="preserve">العلامة الكبير مصنف الهداية والفصول اللؤلؤية ولد تقريباً سنة 860 ستين وثمان مائة وقرأ بصنعاء وصعدة على جماعة من الشيوخ في الأصول والعربية والفقه والحديث والتفسير وسائر الفنون ومن مشايخه السيد علي بن محمد بن المرتضى والسيد عبد الله بن يحيى بن المهدي والإمام المتوكل على الله المطهر بن محمد بن سليمان والقاضي على بن موسى الدواري والغزولي المصري الواصل إلى اليمن وغير هؤلاء وبرع في جميع الفنون وصار المرجع في عصره والمشار إليه بالفضيلة وله مصنفات أشهرها وأجلها ما تقدم وله نظم رائق فمنه</w:t>
      </w:r>
    </w:p>
    <w:p/>
    <w:p>
      <w:pPr/>
      <w:r>
        <w:rPr/>
        <w:t xml:space="preserve">قوله</w:t>
      </w:r>
    </w:p>
    <w:p/>
    <w:p>
      <w:pPr>
        <w:jc w:val="center"/>
      </w:pPr>
      <w:r>
        <w:rPr>
          <w:color w:val="ff0000"/>
        </w:rPr>
        <w:t xml:space="preserve">وإني وحبي للنبي وآله</w:t>
      </w:r>
      <w:r>
        <w:rPr>
          <w:color w:val="ff0000"/>
        </w:rPr>
        <w:t xml:space="preserve">      </w:t>
      </w:r>
      <w:r>
        <w:rPr>
          <w:color w:val="ff0000"/>
        </w:rPr>
        <w:t xml:space="preserve">وما اشتملت مني عليه ضلوع</w:t>
      </w:r>
    </w:p>
    <w:p/>
    <w:p>
      <w:pPr>
        <w:jc w:val="center"/>
      </w:pPr>
      <w:r>
        <w:rPr>
          <w:color w:val="ff0000"/>
        </w:rPr>
        <w:t xml:space="preserve">وأن أفلت منهم شموس طوالع</w:t>
      </w:r>
      <w:r>
        <w:rPr>
          <w:color w:val="ff0000"/>
        </w:rPr>
        <w:t xml:space="preserve">      </w:t>
      </w:r>
      <w:r>
        <w:rPr>
          <w:color w:val="ff0000"/>
        </w:rPr>
        <w:t xml:space="preserve">يكون لها بعد الأفول طلوع</w:t>
      </w:r>
    </w:p>
    <w:p/>
    <w:p>
      <w:pPr/>
      <w:r>
        <w:rPr/>
        <w:t xml:space="preserve">وقد ترجمه السخاوي في الضوء اللامع فلم يزد على أن قال السيد إبراهيم بن محمد بن عبد الله الصنعاني الآتي أبوه وابنه علي كهل فاضل من أدباء صنعاء الموجودين بها بعد السبعين وثمان مائة أنشدني ولده المشار إليه عنه من قوله في أبيات</w:t>
      </w:r>
    </w:p>
    <w:p/>
    <w:p>
      <w:pPr>
        <w:jc w:val="center"/>
      </w:pPr>
      <w:r>
        <w:rPr>
          <w:color w:val="ff0000"/>
        </w:rPr>
        <w:t xml:space="preserve">ولا صدعنى ماجد ذو حفيظة</w:t>
      </w:r>
      <w:r>
        <w:rPr>
          <w:color w:val="ff0000"/>
        </w:rPr>
        <w:t xml:space="preserve">      </w:t>
      </w:r>
      <w:r>
        <w:rPr>
          <w:color w:val="ff0000"/>
        </w:rPr>
        <w:t xml:space="preserve">ولا هجرتني زينب وسعاد</w:t>
      </w:r>
    </w:p>
    <w:p/>
    <w:p>
      <w:pPr>
        <w:jc w:val="center"/>
      </w:pPr>
      <w:r>
        <w:rPr>
          <w:color w:val="ff0000"/>
        </w:rPr>
        <w:t xml:space="preserve">ولكن شعري مثلما قال شاعر</w:t>
      </w:r>
      <w:r>
        <w:rPr>
          <w:color w:val="ff0000"/>
        </w:rPr>
        <w:t xml:space="preserve">      </w:t>
      </w:r>
      <w:r>
        <w:rPr>
          <w:color w:val="ff0000"/>
        </w:rPr>
        <w:t xml:space="preserve">حكيم زهير دونه وزياد</w:t>
      </w:r>
    </w:p>
    <w:p/>
    <w:p>
      <w:pPr>
        <w:jc w:val="center"/>
      </w:pPr>
      <w:r>
        <w:rPr>
          <w:color w:val="ff0000"/>
        </w:rPr>
        <w:t xml:space="preserve">إذا أنكرتني بلدة أو نكرتها</w:t>
      </w:r>
      <w:r>
        <w:rPr>
          <w:color w:val="ff0000"/>
        </w:rPr>
        <w:t xml:space="preserve">      </w:t>
      </w:r>
      <w:r>
        <w:rPr>
          <w:color w:val="ff0000"/>
        </w:rPr>
        <w:t xml:space="preserve">خرجت مع البازي علي سواد</w:t>
      </w:r>
    </w:p>
    <w:p/>
    <w:p>
      <w:pPr>
        <w:jc w:val="center"/>
      </w:pPr>
      <w:r>
        <w:rPr>
          <w:color w:val="ff0000"/>
        </w:rPr>
        <w:t xml:space="preserve">أبت لي نفس حرة أن أهينها</w:t>
      </w:r>
      <w:r>
        <w:rPr>
          <w:color w:val="ff0000"/>
        </w:rPr>
        <w:t xml:space="preserve">      </w:t>
      </w:r>
      <w:r>
        <w:rPr>
          <w:color w:val="ff0000"/>
        </w:rPr>
        <w:t xml:space="preserve">وقد شرفتها طيبة ومعاد</w:t>
      </w:r>
    </w:p>
    <w:p/>
    <w:p>
      <w:pPr>
        <w:jc w:val="center"/>
      </w:pPr>
      <w:r>
        <w:rPr>
          <w:color w:val="ff0000"/>
        </w:rPr>
        <w:t xml:space="preserve">فليست على خسف تقيم ببلدة</w:t>
      </w:r>
      <w:r>
        <w:rPr>
          <w:color w:val="ff0000"/>
        </w:rPr>
        <w:t xml:space="preserve">      </w:t>
      </w:r>
      <w:r>
        <w:rPr>
          <w:color w:val="ff0000"/>
        </w:rPr>
        <w:t xml:space="preserve">ولا بزمام الاحتقار تقاد</w:t>
      </w:r>
    </w:p>
    <w:p/>
    <w:p>
      <w:pPr/>
      <w:r>
        <w:rPr/>
        <w:t xml:space="preserve">انتهى ما ذكره السخاوي ولم يزد عليه وقد وهم في قوله ولده علي فليس له ولد اسمه علي بل أولاده هم أحمد ومحمد والهادي شيخ الأمام</w:t>
      </w:r>
    </w:p>
    <w:p/>
    <w:p>
      <w:pPr/>
      <w:r>
        <w:rPr/>
        <w:t xml:space="preserve">شرف الدين وهذه الأبيات ليست له بل هي لجده الهادي بن إبراهيم ابن علي بن المرتضى وفي الأبيات خلط ولم يزل المترجم له على حاله الجميل حتى مات قبل العشاء الأخيرة من ليلة الأحد ثاني شهر جمادى الآخرة سنة 914 أربع عشرة وتسعمائة</w:t>
      </w:r>
    </w:p>
    <w:p>
      <w:pPr>
        <w:jc w:val="start"/>
        <w:bidi/>
      </w:pPr>
      <w:r>
        <w:rPr>
          <w:sz w:val="24"/>
          <w:szCs w:val="24"/>
          <w:b w:val="1"/>
          <w:bCs w:val="1"/>
          <w:rtl/>
        </w:rPr>
        <w:t xml:space="preserve">
البدر الطالع بمحاسن من بعد القرن السابع،(دار المعرفة - بيروت،0،ط 1،ج 1،ص 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2026-09-16T07:25:28+03:00</dcterms:created>
  <dcterms:modified xsi:type="dcterms:W3CDTF">2026-09-16T07:25:28+03:00</dcterms:modified>
</cp:coreProperties>
</file>

<file path=docProps/custom.xml><?xml version="1.0" encoding="utf-8"?>
<Properties xmlns="http://schemas.openxmlformats.org/officeDocument/2006/custom-properties" xmlns:vt="http://schemas.openxmlformats.org/officeDocument/2006/docPropsVTypes"/>
</file>