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هريرة
</w:t>
      </w:r>
    </w:p>
    <w:p>
      <w:pPr>
        <w:jc w:val="start"/>
        <w:bidi/>
      </w:pPr>
      <w:r>
        <w:rPr>
          <w:rFonts w:ascii="arial" w:hAnsi="arial" w:eastAsia="arial" w:cs="arial"/>
          <w:sz w:val="28"/>
          <w:szCs w:val="28"/>
          <w:b w:val="1"/>
          <w:bCs w:val="1"/>
          <w:rtl/>
        </w:rPr>
        <w:t xml:space="preserve">ابن أبي هريرة
</w:t>
      </w:r>
    </w:p>
    <w:p>
      <w:pPr/>
      <w:r>
        <w:rPr/>
        <w:t xml:space="preserve">ابن أبي هريرة  الحسن بن الحسين بن أبي هريرة، أبو علي: فقيه، انتهت إليه إمامة الشافعية في العراق. كان عظيم القدر مهيبا. له مسائل في الفروع و (شرح مختصر المزني). مات ببغداد</w:t>
      </w:r>
    </w:p>
    <w:p>
      <w:pPr>
        <w:jc w:val="start"/>
        <w:bidi/>
      </w:pPr>
      <w:r>
        <w:rPr>
          <w:sz w:val="24"/>
          <w:szCs w:val="24"/>
          <w:b w:val="1"/>
          <w:bCs w:val="1"/>
          <w:rtl/>
        </w:rPr>
        <w:t xml:space="preserve">
الأعلام،(دار العلم للملايين - بيروت،2002،ط 15،ج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هريرة الشافعي
</w:t>
      </w:r>
    </w:p>
    <w:p>
      <w:pPr/>
      <w:r>
        <w:rPr/>
        <w:t xml:space="preserve">ابن أبي هريرة الشافعي الحسن بن الحسين أبو علي الفقيه الشافعي المعروف بابن أبي هريرة. قرأ الفقه على ابن سريج وأبي إسحاق المروزي وشرح مختصر المزني وعلق عنه الشرح أبو علي الطبري ودرس ببغداذ وتخرج به جماعة وانتهت إليه إمامة العراقين، وكان معظما عند السلاطين والرعايا وله وجه في المذهب. وتوفي سنة خمس وأربعين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هريرة الشافعي
</w:t>
      </w:r>
    </w:p>
    <w:p>
      <w:pPr/>
      <w:r>
        <w:rPr/>
        <w:t xml:space="preserve">ابن أبي هريرة الشافعي اسمه: الحسن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هريرة
</w:t>
      </w:r>
    </w:p>
    <w:p>
      <w:pPr/>
      <w:r>
        <w:rPr/>
        <w:t xml:space="preserve">ابن أبي هريرة الإمام شيخ الشافعية، أبو علي الحسن بن الحسين بن أبي هريرة البغدادي القاضي، من أصحاب الوجوه.</w:t>
      </w:r>
    </w:p>
    <w:p/>
    <w:p>
      <w:pPr/>
      <w:r>
        <w:rPr/>
        <w:t xml:space="preserve">انتهت إليه رئاسة المذهب.</w:t>
      </w:r>
    </w:p>
    <w:p/>
    <w:p>
      <w:pPr/>
      <w:r>
        <w:rPr/>
        <w:t xml:space="preserve">تفقه بابن سريج، ثم بأبي إسحاق المروزي، وصنف شرحا لمختصر المزني.</w:t>
      </w:r>
    </w:p>
    <w:p/>
    <w:p>
      <w:pPr/>
      <w:r>
        <w:rPr/>
        <w:t xml:space="preserve">أخذ عنه أبو علي الطبري والدارقطني، وغيرهما، واشتهر في الآفاق.</w:t>
      </w:r>
    </w:p>
    <w:p/>
    <w:p>
      <w:pPr/>
      <w:r>
        <w:rPr/>
        <w:t xml:space="preserve">توفي سنة خمس وأربعين وثلاث مائة.</w:t>
      </w:r>
    </w:p>
    <w:p>
      <w:pPr>
        <w:jc w:val="start"/>
        <w:bidi/>
      </w:pPr>
      <w:r>
        <w:rPr>
          <w:sz w:val="24"/>
          <w:szCs w:val="24"/>
          <w:b w:val="1"/>
          <w:bCs w:val="1"/>
          <w:rtl/>
        </w:rPr>
        <w:t xml:space="preserve">
سير أعلام النبلاء،(دار الحديث- القاهرة،2006،ط 1،ج 12،ص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هريرة الحسن بن الحسين.
</w:t>
      </w:r>
    </w:p>
    <w:p>
      <w:pPr/>
      <w:r>
        <w:rPr/>
        <w:t xml:space="preserve">ابن أبي هريرة الحسن بن الحسين. </w:t>
      </w:r>
    </w:p>
    <w:p/>
    <w:p>
      <w:pPr/>
      <w:r>
        <w:rPr/>
        <w:t xml:space="preserve">تقدم 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2026-08-25T19:57:25+03:00</dcterms:created>
  <dcterms:modified xsi:type="dcterms:W3CDTF">2026-08-25T19:57:25+03:00</dcterms:modified>
</cp:coreProperties>
</file>

<file path=docProps/custom.xml><?xml version="1.0" encoding="utf-8"?>
<Properties xmlns="http://schemas.openxmlformats.org/officeDocument/2006/custom-properties" xmlns:vt="http://schemas.openxmlformats.org/officeDocument/2006/docPropsVTypes"/>
</file>