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اليمني
</w:t>
      </w:r>
    </w:p>
    <w:p>
      <w:pPr>
        <w:jc w:val="start"/>
        <w:bidi/>
      </w:pPr>
      <w:r>
        <w:rPr>
          <w:rFonts w:ascii="arial" w:hAnsi="arial" w:eastAsia="arial" w:cs="arial"/>
          <w:sz w:val="28"/>
          <w:szCs w:val="28"/>
          <w:b w:val="1"/>
          <w:bCs w:val="1"/>
          <w:rtl/>
        </w:rPr>
        <w:t xml:space="preserve">الجلال اليمني
</w:t>
      </w:r>
    </w:p>
    <w:p>
      <w:pPr/>
      <w:r>
        <w:rPr/>
        <w:t xml:space="preserve">الجلال اليمني  الحسن بن أحمد بن محمد بن علي، الحسني العلوي، المعروف بالجلال: فقيه عارف بالتفسير والعربية والمنطق. ولد ونشأ في هجرة رغافة (بين الحجاز وصعدة) وتنقل في بلاد اليمن، واستوطن (الجراف) ومات فيها. وهو أخو الهادي بن أحمد الآتي ذكره. له شروح وحواش ومختصرات، وشعر وأدب. من كتبه (تكملة الكشف على الكشاف) و (شرح الفصول) في أصول الدين، و (شرح التهذيب) في المنطق، و (عصام المتورعين) في أصول الدين، و (شرح الكافية) في النحو، و (بديعية) و (شرحها)</w:t>
      </w:r>
    </w:p>
    <w:p>
      <w:pPr>
        <w:jc w:val="start"/>
        <w:bidi/>
      </w:pPr>
      <w:r>
        <w:rPr>
          <w:sz w:val="24"/>
          <w:szCs w:val="24"/>
          <w:b w:val="1"/>
          <w:bCs w:val="1"/>
          <w:rtl/>
        </w:rPr>
        <w:t xml:space="preserve">
الأعلام،(دار العلم للملايين - بيروت،2002،ط 15،ج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2026-09-22T08:20:54+03:00</dcterms:created>
  <dcterms:modified xsi:type="dcterms:W3CDTF">2026-09-22T08:20:54+03:00</dcterms:modified>
</cp:coreProperties>
</file>

<file path=docProps/custom.xml><?xml version="1.0" encoding="utf-8"?>
<Properties xmlns="http://schemas.openxmlformats.org/officeDocument/2006/custom-properties" xmlns:vt="http://schemas.openxmlformats.org/officeDocument/2006/docPropsVTypes"/>
</file>