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رضا الحسيني البروجردي
</w:t>
      </w:r>
    </w:p>
    <w:p>
      <w:pPr>
        <w:jc w:val="start"/>
        <w:bidi/>
      </w:pPr>
      <w:r>
        <w:rPr>
          <w:rFonts w:ascii="arial" w:hAnsi="arial" w:eastAsia="arial" w:cs="arial"/>
          <w:sz w:val="28"/>
          <w:szCs w:val="28"/>
          <w:b w:val="1"/>
          <w:bCs w:val="1"/>
          <w:rtl/>
        </w:rPr>
        <w:t xml:space="preserve">السيد حسين بن السيد رضا الحسيني البروجردي
</w:t>
      </w:r>
    </w:p>
    <w:p>
      <w:pPr/>
      <w:r>
        <w:rPr/>
        <w:t xml:space="preserve">السيد حسين بن السيد رضا الحسيني البروجردي ولد في 23 شوال سنة 1228 وقيل 1238 وتوفي سنة 1276 أو77.</w:t>
      </w:r>
    </w:p>
    <w:p/>
    <w:p>
      <w:pPr/>
      <w:r>
        <w:rPr/>
        <w:t xml:space="preserve">عالم فاضل جليل فقيه متكلم مفسر.</w:t>
      </w:r>
    </w:p>
    <w:p/>
    <w:p>
      <w:pPr/>
      <w:r>
        <w:rPr/>
        <w:t xml:space="preserve">مشايخه:</w:t>
      </w:r>
    </w:p>
    <w:p/>
    <w:p>
      <w:pPr/>
      <w:r>
        <w:rPr/>
        <w:t xml:space="preserve">قرأ في الفقه على الشيخ حسن ابن الشيخ جعفر صاحب أنوار الفقاهة وعلى صاحب الجواهر وفي الأصول على السيد شفيع الجابلقي البروجردي وعلى صاحب الفصول. وفي التفسير على السيد جعفر الدارابي.</w:t>
      </w:r>
    </w:p>
    <w:p/>
    <w:p>
      <w:pPr/>
      <w:r>
        <w:rPr/>
        <w:t xml:space="preserve">مؤلفاته</w:t>
      </w:r>
    </w:p>
    <w:p/>
    <w:p>
      <w:pPr/>
      <w:r>
        <w:rPr/>
        <w:t xml:space="preserve">له من المؤلفات:</w:t>
      </w:r>
    </w:p>
    <w:p/>
    <w:p>
      <w:pPr/>
      <w:r>
        <w:rPr/>
        <w:t xml:space="preserve">1- زبدة المقال أو نخبة المقال في علم الرجال</w:t>
      </w:r>
    </w:p>
    <w:p/>
    <w:p>
      <w:pPr/>
      <w:r>
        <w:rPr/>
        <w:t xml:space="preserve">منظومة في 1313 بيتا فرع منها سنة 1260 أو 1270 مطبوعة وترك المجاهيل وجملة من العلماء المتأخرين فتممها المولى علي بن عبد الله بن محمد بن محب الله بن محمد جعفر العلياري القراجه داغي التبريزي بمنظومة سماها بهجة الآمال في زبدة المقال ثم شرح الأصل والتتمة بشرح سماه ’’ بهجة الآمال ’’ في شرح زبدة المقال ومنتهى الآمال في خمسة مجلدات ثلاثة منها في شرح زبدة المقال ومجلدتان في شرح منتهى الآمال وفي الذريعة سميت في المطبوع منها بنخبة المقال وسماها العلياري الشارح لها بزبدة المقال. وعلم الرجال لا يليق به النظم كما لا يخفى</w:t>
      </w:r>
    </w:p>
    <w:p/>
    <w:p>
      <w:pPr/>
      <w:r>
        <w:rPr/>
        <w:t xml:space="preserve">2- رسالة في الكنى والألقاب مطبوعة مع نخبة المقال</w:t>
      </w:r>
    </w:p>
    <w:p/>
    <w:p>
      <w:pPr/>
      <w:r>
        <w:rPr/>
        <w:t xml:space="preserve">3- تفسير القرآن خرج منه مجلد كبير في مقدمات التفسير</w:t>
      </w:r>
    </w:p>
    <w:p/>
    <w:p>
      <w:pPr/>
      <w:r>
        <w:rPr/>
        <w:t xml:space="preserve">وتفسير الفاتحة ونحو الثلث من سورة البقرة.</w:t>
      </w:r>
    </w:p>
    <w:p>
      <w:pPr>
        <w:jc w:val="start"/>
        <w:bidi/>
      </w:pPr>
      <w:r>
        <w:rPr>
          <w:sz w:val="24"/>
          <w:szCs w:val="24"/>
          <w:b w:val="1"/>
          <w:bCs w:val="1"/>
          <w:rtl/>
        </w:rPr>
        <w:t xml:space="preserve">
أعيان الشيعة،(دار التعارف للمطبوعات - بيروت،1983،ط 1،ج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2026-07-29T00:53:43+03:00</dcterms:created>
  <dcterms:modified xsi:type="dcterms:W3CDTF">2026-07-29T00:53:43+03:00</dcterms:modified>
</cp:coreProperties>
</file>

<file path=docProps/custom.xml><?xml version="1.0" encoding="utf-8"?>
<Properties xmlns="http://schemas.openxmlformats.org/officeDocument/2006/custom-properties" xmlns:vt="http://schemas.openxmlformats.org/officeDocument/2006/docPropsVTypes"/>
</file>