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الخويصرة
</w:t>
      </w:r>
    </w:p>
    <w:p>
      <w:pPr>
        <w:jc w:val="start"/>
        <w:bidi/>
      </w:pPr>
      <w:r>
        <w:rPr>
          <w:rFonts w:ascii="arial" w:hAnsi="arial" w:eastAsia="arial" w:cs="arial"/>
          <w:sz w:val="28"/>
          <w:szCs w:val="28"/>
          <w:b w:val="1"/>
          <w:bCs w:val="1"/>
          <w:rtl/>
        </w:rPr>
        <w:t xml:space="preserve">ذو الخويصرة
</w:t>
      </w:r>
    </w:p>
    <w:p>
      <w:pPr/>
      <w:r>
        <w:rPr/>
        <w:t xml:space="preserve">ذو الخويصرة  حرقوص بن زهير السعدي، الملقب بذي الخويصرة: صحابي، من بني تميم. خاصم الزبير فأبر النبي صلى الله عليه وسلم باستيفاء حقه منه. وأمره عمر بن الخطاب بقتال (الهرمزان) فاستولى على سوق الأهواز ونزل بها. ثن شهد صفين مع علي. وبعد الحكمين صار من أشد الخوارج على علي، فقتل فيمن قتل بالنهروان. وفي سيرته اضطراب. وإياه عنى أحد شعرا الخوارج، بقوله من أبيات رواها المبرد: وأسأل الله بيع النفس محتسبا. </w:t>
      </w:r>
    </w:p>
    <w:p/>
    <w:p>
      <w:pPr/>
      <w:r>
        <w:rPr/>
        <w:t xml:space="preserve">حتى ألاقي في الفردوس حرقوصا. </w:t>
      </w:r>
    </w:p>
    <w:p>
      <w:pPr>
        <w:jc w:val="start"/>
        <w:bidi/>
      </w:pPr>
      <w:r>
        <w:rPr>
          <w:sz w:val="24"/>
          <w:szCs w:val="24"/>
          <w:b w:val="1"/>
          <w:bCs w:val="1"/>
          <w:rtl/>
        </w:rPr>
        <w:t xml:space="preserve">
الأعلام،(دار العلم للملايين - بيروت،2002،ط 15،ج 2،ص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2026-09-22T05:46:00+03:00</dcterms:created>
  <dcterms:modified xsi:type="dcterms:W3CDTF">2026-09-22T05:46:00+03:00</dcterms:modified>
</cp:coreProperties>
</file>

<file path=docProps/custom.xml><?xml version="1.0" encoding="utf-8"?>
<Properties xmlns="http://schemas.openxmlformats.org/officeDocument/2006/custom-properties" xmlns:vt="http://schemas.openxmlformats.org/officeDocument/2006/docPropsVTypes"/>
</file>