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 بن يوسف
</w:t>
      </w:r>
    </w:p>
    <w:p>
      <w:pPr>
        <w:jc w:val="start"/>
        <w:bidi/>
      </w:pPr>
      <w:r>
        <w:rPr>
          <w:rFonts w:ascii="arial" w:hAnsi="arial" w:eastAsia="arial" w:cs="arial"/>
          <w:sz w:val="28"/>
          <w:szCs w:val="28"/>
          <w:b w:val="1"/>
          <w:bCs w:val="1"/>
          <w:rtl/>
        </w:rPr>
        <w:t xml:space="preserve">الحر بن يوسف
</w:t>
      </w:r>
    </w:p>
    <w:p>
      <w:pPr/>
      <w:r>
        <w:rPr/>
        <w:t xml:space="preserve">الحر بن يوسف  الحر بن يوسف بن يحيى بن الحكم الأموي: أمير مصر ثم الموصل. ولاه هشام بن عبد الملك مصر سنة 105هـ ، فثار القبط، فأصلح أمرهم. وانكشف النيل في أيامه عن أرض جديدة بنيت فيها (قيسارية هشام) وصرفه هشام عن مصر وأجرى فيها نهرا كان أكثر شربها منه، استمر العمل في حفره عدة سنين، وعليه كان (0شارع النهر) وبنى لسكناه دارا كانت تسمى (المنقوشة) لكثرة ما فيها من نقوش الساج والرخام والفصوص الملونة (الفسيفساء) وخربت قبل عصر المؤرخ ابن الأثير. واستمر الحر في إمارته إلى أن توفى. وكان عاقلا فاضلا محبا للخير والعمران. قال ابن تغرى بردى: كان أجل أمراء بني أمية شجاعة وكرما وسؤددا</w:t>
      </w:r>
    </w:p>
    <w:p>
      <w:pPr>
        <w:jc w:val="start"/>
        <w:bidi/>
      </w:pPr>
      <w:r>
        <w:rPr>
          <w:sz w:val="24"/>
          <w:szCs w:val="24"/>
          <w:b w:val="1"/>
          <w:bCs w:val="1"/>
          <w:rtl/>
        </w:rPr>
        <w:t xml:space="preserve">
الأعلام،(دار العلم للملايين - بيروت،2002،ط 15،ج 2،ص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2026-09-22T05:46:01+03:00</dcterms:created>
  <dcterms:modified xsi:type="dcterms:W3CDTF">2026-09-22T05:46:01+03:00</dcterms:modified>
</cp:coreProperties>
</file>

<file path=docProps/custom.xml><?xml version="1.0" encoding="utf-8"?>
<Properties xmlns="http://schemas.openxmlformats.org/officeDocument/2006/custom-properties" xmlns:vt="http://schemas.openxmlformats.org/officeDocument/2006/docPropsVTypes"/>
</file>