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الحذاء
</w:t>
      </w:r>
    </w:p>
    <w:p>
      <w:pPr>
        <w:jc w:val="start"/>
        <w:bidi/>
      </w:pPr>
      <w:r>
        <w:rPr>
          <w:rFonts w:ascii="arial" w:hAnsi="arial" w:eastAsia="arial" w:cs="arial"/>
          <w:sz w:val="28"/>
          <w:szCs w:val="28"/>
          <w:b w:val="1"/>
          <w:bCs w:val="1"/>
          <w:rtl/>
        </w:rPr>
        <w:t xml:space="preserve">الحسن بن محمد بن أحمد الحذاء
</w:t>
      </w:r>
    </w:p>
    <w:p>
      <w:pPr/>
      <w:r>
        <w:rPr/>
        <w:t xml:space="preserve">الحسن بن محمد بن أحمد الحذاء النيسابوري يكنى أبا محمد</w:t>
      </w:r>
    </w:p>
    <w:p/>
    <w:p>
      <w:pPr/>
      <w:r>
        <w:rPr/>
        <w:t xml:space="preserve">ذكره الشيخ في رجاله فيمن لم يرو عنهم عليهم السلام وقال روى عنه التلعكبري وله منه إجازة (اه) وفي التعليقة كونه شيخ إجازة يشير إلى الوثاقة (اه).</w:t>
      </w:r>
    </w:p>
    <w:p/>
    <w:p>
      <w:pPr/>
      <w:r>
        <w:rPr/>
        <w:t xml:space="preserve">التمييز</w:t>
      </w:r>
    </w:p>
    <w:p/>
    <w:p>
      <w:pPr/>
      <w:r>
        <w:rPr/>
        <w:t xml:space="preserve">في مشتركات الطريحي والكاظمي باب الحسن ابن محمد المشترك بين ثقة وغيره ويمكن استعلام أنه ابن محمد ابن أحمد برواية التلعكبري عنه والمايز القرينة ومع عدمها فلا إشكال لاشتراكهما في معنى هو عدم التوثيق (اه) (أقول) وعلى ما هو الأرجح من أن شيخية الإجازة تشير إلى الوثاقة بل كون مشايخ الإجازة لا يحتاجون إلى التوثيق فلا إشكال للاشتراك في الوثاقة.</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2026-07-29T04:01:01+03:00</dcterms:created>
  <dcterms:modified xsi:type="dcterms:W3CDTF">2026-07-29T04:01:01+03:00</dcterms:modified>
</cp:coreProperties>
</file>

<file path=docProps/custom.xml><?xml version="1.0" encoding="utf-8"?>
<Properties xmlns="http://schemas.openxmlformats.org/officeDocument/2006/custom-properties" xmlns:vt="http://schemas.openxmlformats.org/officeDocument/2006/docPropsVTypes"/>
</file>