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الحسن بن قارون
</w:t>
      </w:r>
    </w:p>
    <w:p>
      <w:pPr>
        <w:jc w:val="start"/>
        <w:bidi/>
      </w:pPr>
      <w:r>
        <w:rPr>
          <w:rFonts w:ascii="arial" w:hAnsi="arial" w:eastAsia="arial" w:cs="arial"/>
          <w:sz w:val="28"/>
          <w:szCs w:val="28"/>
          <w:b w:val="1"/>
          <w:bCs w:val="1"/>
          <w:rtl/>
        </w:rPr>
        <w:t xml:space="preserve">الحسن بن قارون
</w:t>
      </w:r>
    </w:p>
    <w:p>
      <w:pPr/>
      <w:r>
        <w:rPr/>
        <w:t xml:space="preserve">الحسن بن قارون (قارن) بالراء أو الزاي من أصحاب الرضا عليه السلام. </w:t>
      </w:r>
    </w:p>
    <w:p/>
    <w:p>
      <w:pPr/>
      <w:r>
        <w:rPr/>
        <w:t xml:space="preserve">للصدوق طريق إليه في الفقيه وهو حمزة بن محمد العلوي رضي الله عنه عن علي بن إبراهيم عن أبيه عن الحسن بن قارون والحسن هذا غير مذكور في الرجال وفي مستدركات الوسائل يهون الخطب أنه لم يرو عنه إلا خبر واحد في الفقيه في باب الحد الذي يؤخذ فيه الصبيان بالصلاة رواه عن أبي الحسن الرضا عليه السلام (اه).</w:t>
      </w:r>
    </w:p>
    <w:p>
      <w:pPr>
        <w:jc w:val="start"/>
        <w:bidi/>
      </w:pPr>
      <w:r>
        <w:rPr>
          <w:sz w:val="24"/>
          <w:szCs w:val="24"/>
          <w:b w:val="1"/>
          <w:bCs w:val="1"/>
          <w:rtl/>
        </w:rPr>
        <w:t xml:space="preserve">
أعيان الشيعة،(دار التعارف للمطبوعات - بيروت،1983،ط 1،ج 5،ص 227)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2026-07-28T10:13:13+03:00</dcterms:created>
  <dcterms:modified xsi:type="dcterms:W3CDTF">2026-07-28T10:13:13+03:00</dcterms:modified>
</cp:coreProperties>
</file>

<file path=docProps/custom.xml><?xml version="1.0" encoding="utf-8"?>
<Properties xmlns="http://schemas.openxmlformats.org/officeDocument/2006/custom-properties" xmlns:vt="http://schemas.openxmlformats.org/officeDocument/2006/docPropsVTypes"/>
</file>