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عبد الرحمن
</w:t>
      </w:r>
    </w:p>
    <w:p>
      <w:pPr>
        <w:jc w:val="start"/>
        <w:bidi/>
      </w:pPr>
      <w:r>
        <w:rPr>
          <w:rFonts w:ascii="arial" w:hAnsi="arial" w:eastAsia="arial" w:cs="arial"/>
          <w:sz w:val="28"/>
          <w:szCs w:val="28"/>
          <w:b w:val="1"/>
          <w:bCs w:val="1"/>
          <w:rtl/>
        </w:rPr>
        <w:t xml:space="preserve">حبيب بن عبد الرحمن
</w:t>
      </w:r>
    </w:p>
    <w:p>
      <w:pPr/>
      <w:r>
        <w:rPr/>
        <w:t xml:space="preserve">حبيب بن عبد الرحمن  حبيب بن عبد الرحمن بن حبيب بن أبى عبيدة بن عقبة بن نافع الفهري: صاحب إفريقية، وأحد الأمراء الشجعان. كان أبوه (عبد الرحمن) قد استولى غلى إفريقية قبله إلى أن قتله أخوه (إلياس بن حبيب بن أبى عبيدة) وامتلكها، فنهض حبيب بن عبد الرحمن، فقاتل عمه وقتله بعد معارك. وانتظمت له شؤونها ثلاث سنوات. وامتنع عليه عبد الملك بن أبى الجعد الورفجومي، وكان إباضيا، فقاتله على أبواب القيروان، فانهزم حبيب وقتل مع جماعة من أصحابه</w:t>
      </w:r>
    </w:p>
    <w:p>
      <w:pPr>
        <w:jc w:val="start"/>
        <w:bidi/>
      </w:pPr>
      <w:r>
        <w:rPr>
          <w:sz w:val="24"/>
          <w:szCs w:val="24"/>
          <w:b w:val="1"/>
          <w:bCs w:val="1"/>
          <w:rtl/>
        </w:rPr>
        <w:t xml:space="preserve">
الأعلام،(دار العلم للملايين - بيروت،2002،ط 15،ج 2،ص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2026-09-22T03:30:05+03:00</dcterms:created>
  <dcterms:modified xsi:type="dcterms:W3CDTF">2026-09-22T03:30:05+03:00</dcterms:modified>
</cp:coreProperties>
</file>

<file path=docProps/custom.xml><?xml version="1.0" encoding="utf-8"?>
<Properties xmlns="http://schemas.openxmlformats.org/officeDocument/2006/custom-properties" xmlns:vt="http://schemas.openxmlformats.org/officeDocument/2006/docPropsVTypes"/>
</file>