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
</w:t>
      </w:r>
    </w:p>
    <w:p>
      <w:pPr/>
      <w:r>
        <w:rPr/>
        <w:t xml:space="preserve">أبو الأصبغ </w:t>
      </w:r>
    </w:p>
    <w:p/>
    <w:p>
      <w:pPr/>
      <w:r>
        <w:rPr/>
        <w:t xml:space="preserve">مولى لبني سليم سمع كثير بن العباس روى عنه مسعر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