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الحكم الواسطي المعروف بدهقانة
</w:t>
      </w:r>
    </w:p>
    <w:p>
      <w:pPr>
        <w:jc w:val="start"/>
        <w:bidi/>
      </w:pPr>
      <w:r>
        <w:rPr>
          <w:rFonts w:ascii="arial" w:hAnsi="arial" w:eastAsia="arial" w:cs="arial"/>
          <w:sz w:val="28"/>
          <w:szCs w:val="28"/>
          <w:b w:val="1"/>
          <w:bCs w:val="1"/>
          <w:rtl/>
        </w:rPr>
        <w:t xml:space="preserve">يحيى بن أبي الحكم الواسطي المعروف بدهقانة
</w:t>
      </w:r>
    </w:p>
    <w:p>
      <w:pPr/>
      <w:r>
        <w:rPr/>
        <w:t xml:space="preserve">يحيى بن أبي الحكم الواسطي المعروف بدهقانة </w:t>
      </w:r>
    </w:p>
    <w:p/>
    <w:p>
      <w:pPr/>
      <w:r>
        <w:rPr/>
        <w:t xml:space="preserve">روى عن أيوب بن سيار وعباد بن العوام والحكم بن عمرو صاحب عمر بن عبد العزيز سمع منه أبي ببغداد مع أبي بكر الأعين. نا عبد الرحمن قال سألت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