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نعيم الجرمي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نعيم الجرمي
</w:t>
      </w:r>
    </w:p>
    <w:p>
      <w:pPr/>
      <w:r>
        <w:rPr/>
        <w:t xml:space="preserve">محمد بن نعيم الجرمي </w:t>
      </w:r>
    </w:p>
    <w:p/>
    <w:p>
      <w:pPr/>
      <w:r>
        <w:rPr/>
        <w:t xml:space="preserve">سكن حماة على مرحلة من سلمية شامي</w:t>
      </w:r>
    </w:p>
    <w:p/>
    <w:p>
      <w:pPr/>
      <w:r>
        <w:rPr/>
        <w:t xml:space="preserve">روى عن أبي اليمان وأحمد بن شبويه المروزي كتب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2026-09-19T19:24:05+03:00</dcterms:created>
  <dcterms:modified xsi:type="dcterms:W3CDTF">2026-09-19T19:24:05+03:00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