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أسلم بن عبد الرحمن بن صخر بن عبد الرحمن بن وابصة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أسلم بن عبد الرحمن بن صخر بن عبد الرحمن بن وابصة الأسدي
</w:t>
      </w:r>
    </w:p>
    <w:p>
      <w:pPr/>
      <w:r>
        <w:rPr/>
        <w:t xml:space="preserve">عبد السلام بن أسلم بن عبد الرحمن بن صخر بن عبد الرحمن بن وابصة الأسدي </w:t>
      </w:r>
    </w:p>
    <w:p/>
    <w:p>
      <w:pPr/>
      <w:r>
        <w:rPr/>
        <w:t xml:space="preserve">قاضي الرقة وحران وحلب روى عن أبيه عن جعفر بن برقان سمع منه أبي بالرقة في سنة أربع وأربعين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2026-09-26T07:10:56+03:00</dcterms:created>
  <dcterms:modified xsi:type="dcterms:W3CDTF">2026-09-26T07:10:56+03:00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