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الأصبغ الحراني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الأصبغ الحراني
</w:t>
      </w:r>
    </w:p>
    <w:p>
      <w:pPr/>
      <w:r>
        <w:rPr/>
        <w:t xml:space="preserve">عبد الملك بن الأصبغ الحراني </w:t>
      </w:r>
    </w:p>
    <w:p/>
    <w:p>
      <w:pPr/>
      <w:r>
        <w:rPr/>
        <w:t xml:space="preserve">وهو ابن محمد بن مرزوق القرشي أبو الوليد مولى عثمان بن عفان رضي الله عنه نزيل بعلبك روى عن الوليد بن مسلم روى عنه أبي.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2026-08-05T17:02:41+03:00</dcterms:created>
  <dcterms:modified xsi:type="dcterms:W3CDTF">2026-08-05T17:02:41+03:00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