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غني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غني العقيلي
</w:t>
      </w:r>
    </w:p>
    <w:p>
      <w:pPr/>
      <w:r>
        <w:rPr/>
        <w:t xml:space="preserve">عبيد الله بن غني العقيلي </w:t>
      </w:r>
    </w:p>
    <w:p/>
    <w:p>
      <w:pPr/>
      <w:r>
        <w:rPr/>
        <w:t xml:space="preserve">روى عن عمر رضي الله عنه أنه قال للنابغة: أنشدنا روى عنه قرة بن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2026-08-05T19:12:50+03:00</dcterms:created>
  <dcterms:modified xsi:type="dcterms:W3CDTF">2026-08-05T19:12:50+03:00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