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غني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غني العقيلي
</w:t>
      </w:r>
    </w:p>
    <w:p>
      <w:pPr/>
      <w:r>
        <w:rPr/>
        <w:t xml:space="preserve">عبيد الله بن غني العقيلي </w:t>
      </w:r>
    </w:p>
    <w:p/>
    <w:p>
      <w:pPr/>
      <w:r>
        <w:rPr/>
        <w:t xml:space="preserve">روى عن عمر رضي الله عنه أنه قال للنابغة: أنشدنا روى عنه قرة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