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start"/>
        <w:bidi/>
      </w:pPr>
      <w:r>
        <w:rPr>
          <w:rFonts w:ascii="arial" w:hAnsi="arial" w:eastAsia="arial" w:cs="arial"/>
          <w:sz w:val="32"/>
          <w:szCs w:val="32"/>
          <w:b w:val="1"/>
          <w:bCs w:val="1"/>
          <w:rtl/>
        </w:rPr>
        <w:t xml:space="preserve">سعيد مولى ابن حزم
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سعيد مولى ابن حزم
</w:t>
      </w:r>
    </w:p>
    <w:p>
      <w:pPr/>
      <w:r>
        <w:rPr/>
        <w:t xml:space="preserve">سعيد مولى ابن حزم </w:t>
      </w:r>
    </w:p>
    <w:p/>
    <w:p>
      <w:pPr/>
      <w:r>
        <w:rPr/>
        <w:t xml:space="preserve">ويكنى بأبي عبد الله روى عن محمد بن كعب القرظي روى عنه ليث بن سعد.</w:t>
      </w:r>
    </w:p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الجرح والتعديل لابن أبي حاتم،(طبعة مجلس دائرة المعارف العثمانية - بحيدر آباد الدكن - الهند،1952،ط 1،ج 4،ص 1)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jc w:val="both"/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  <w:style w:type="paragraph" w:styleId="Heading1">
    <w:link w:val="Heading1Char"/>
    <w:name w:val="heading 1"/>
    <w:rPr>
      <w:rFonts w:ascii="arial" w:hAnsi="arial" w:eastAsia="arial" w:cs="arial"/>
      <w:sz w:val="28"/>
      <w:szCs w:val="28"/>
      <w:b w:val="1"/>
      <w:bCs w:val="1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2026-08-05T13:05:06+03:00</dcterms:created>
  <dcterms:modified xsi:type="dcterms:W3CDTF">2026-08-05T13:05:06+03:00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