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مهاجر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مهاجر الشامي
</w:t>
      </w:r>
    </w:p>
    <w:p>
      <w:pPr/>
      <w:r>
        <w:rPr/>
        <w:t xml:space="preserve">جميل بن مهاجر الشامي </w:t>
      </w:r>
    </w:p>
    <w:p/>
    <w:p>
      <w:pPr/>
      <w:r>
        <w:rPr/>
        <w:t xml:space="preserve">قاضي الأردن روى عن عطاء الخراساني روى أحمد بن أبي الحواري عن أبي حفص الماعوني عنه قال أحمد بن أبي الحواري كان قاضي الأردن.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2026-08-05T19:59:17+03:00</dcterms:created>
  <dcterms:modified xsi:type="dcterms:W3CDTF">2026-08-05T19:59:17+03:00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