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 اليابري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عبدون اليابري
</w:t>
      </w:r>
    </w:p>
    <w:p>
      <w:pPr/>
      <w:r>
        <w:rPr/>
        <w:t xml:space="preserve">ابن عبدون اليابري </w:t>
      </w:r>
    </w:p>
    <w:p/>
    <w:p>
      <w:pPr/>
      <w:r>
        <w:rPr/>
        <w:t xml:space="preserve">أديب شاعر، كان في حدود الأربعمائة أو نحوها، قال أبو عبد الله: لم أجد له عندي إلا قوله في الخيري:</w:t>
      </w:r>
    </w:p>
    <w:p/>
    <w:p>
      <w:pPr>
        <w:jc w:val="center"/>
      </w:pPr>
      <w:r>
        <w:rPr>
          <w:color w:val="ff0000"/>
        </w:rPr>
        <w:t xml:space="preserve">قمر وأثواب الظلام تظله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ويخفى إذا ما الصبح أشرق حاجبه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2026-08-05T16:06:28+03:00</dcterms:created>
  <dcterms:modified xsi:type="dcterms:W3CDTF">2026-08-05T16:06:28+03:00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