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بن العطار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بن العطار القاضي
</w:t>
      </w:r>
    </w:p>
    <w:p>
      <w:pPr/>
      <w:r>
        <w:rPr/>
        <w:t xml:space="preserve">أبو الفرج بن العطار القاضي </w:t>
      </w:r>
    </w:p>
    <w:p/>
    <w:p>
      <w:pPr/>
      <w:r>
        <w:rPr/>
        <w:t xml:space="preserve">فقيه أديب، من الموصوفين بالدهاء والبلاغة والحذق، وكان رئيساً محتشماً، توفى بعد الأربعين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2026-08-05T17:02:23+03:00</dcterms:created>
  <dcterms:modified xsi:type="dcterms:W3CDTF">2026-08-05T17:02:23+03:00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