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الوراق
</w:t>
      </w:r>
    </w:p>
    <w:p>
      <w:pPr/>
      <w:r>
        <w:rPr/>
        <w:t xml:space="preserve">أبو سعيد الوراق </w:t>
      </w:r>
    </w:p>
    <w:p/>
    <w:p>
      <w:pPr/>
      <w:r>
        <w:rPr/>
        <w:t xml:space="preserve">من أهل الأدب والفضل، ذكره أبو محمد علي بن أحمد وأخبر عنه، قال: كنت بعرفات وقد نزلت رفقة من الأعراب فيهم أسود شاعر يخدمهم، فجعل النعاس يغلب عليه وهم يقيمونه لشغل لهم، فلما طال عليه ضجر وجعل يقول:</w:t>
      </w:r>
    </w:p>
    <w:p/>
    <w:p>
      <w:pPr>
        <w:jc w:val="center"/>
      </w:pPr>
      <w:r>
        <w:rPr>
          <w:color w:val="ff0000"/>
        </w:rPr>
        <w:t xml:space="preserve">في كل يوم شملتي مبلله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يقيل الناس ولن أقيله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2026-10-03T09:11:56+03:00</dcterms:created>
  <dcterms:modified xsi:type="dcterms:W3CDTF">2026-10-03T09:11:56+03:00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