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أبو بحر بن الفرج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أبو بحر بن الفرج
</w:t>
      </w:r>
    </w:p>
    <w:p>
      <w:pPr/>
      <w:r>
        <w:rPr/>
        <w:t xml:space="preserve">أبو بحر بن الفرج </w:t>
      </w:r>
    </w:p>
    <w:p/>
    <w:p>
      <w:pPr/>
      <w:r>
        <w:rPr/>
        <w:t xml:space="preserve">أديب شاعر، قال أبو عبد الله بن فتوح: أنشدني له الحاكم أبو شاكر عبد الواحد ابن محمد بن القبري بشاطبة، يعاتب أبا العباس بن ذكوان القاضي، وقد أخرج ذراعه في مجلسه الحكم في خصومه حضر فيها، فنهاه القاضي: فقال:</w:t>
      </w:r>
    </w:p>
    <w:p/>
    <w:p>
      <w:pPr>
        <w:jc w:val="center"/>
      </w:pPr>
      <w:r>
        <w:rPr>
          <w:color w:val="ff0000"/>
        </w:rPr>
        <w:t xml:space="preserve">جهلت أبا العباس تأديب فاتك</w:t>
      </w:r>
      <w:r>
        <w:rPr>
          <w:color w:val="ff0000"/>
        </w:rPr>
        <w:t xml:space="preserve">      </w:t>
      </w:r>
      <w:r>
        <w:rPr>
          <w:color w:val="ff0000"/>
        </w:rPr>
        <w:t xml:space="preserve">صعاليكها وقف على فتكاتي</w:t>
      </w:r>
    </w:p>
    <w:p/>
    <w:p>
      <w:pPr>
        <w:jc w:val="center"/>
      </w:pPr>
      <w:r>
        <w:rPr>
          <w:color w:val="ff0000"/>
        </w:rPr>
        <w:t xml:space="preserve">تؤنبني إن لاح منى معصم</w:t>
      </w:r>
      <w:r>
        <w:rPr>
          <w:color w:val="ff0000"/>
        </w:rPr>
        <w:t xml:space="preserve">      </w:t>
      </w:r>
      <w:r>
        <w:rPr>
          <w:color w:val="ff0000"/>
        </w:rPr>
        <w:t xml:space="preserve">له ميسم في ظهر كل شوات</w:t>
      </w:r>
    </w:p>
    <w:p/>
    <w:p>
      <w:pPr>
        <w:jc w:val="center"/>
      </w:pPr>
      <w:r>
        <w:rPr>
          <w:color w:val="ff0000"/>
        </w:rPr>
        <w:t xml:space="preserve">ولست من القوم الألي قيل</w:t>
      </w:r>
      <w:r>
        <w:rPr>
          <w:color w:val="ff0000"/>
        </w:rPr>
        <w:t xml:space="preserve">      </w:t>
      </w:r>
      <w:r>
        <w:rPr>
          <w:color w:val="ff0000"/>
        </w:rPr>
        <w:t xml:space="preserve">فيهم ولا هي إن أنصفتني بصفاتي</w:t>
      </w:r>
    </w:p>
    <w:p/>
    <w:p>
      <w:pPr>
        <w:jc w:val="center"/>
      </w:pPr>
      <w:r>
        <w:rPr>
          <w:color w:val="ff0000"/>
        </w:rPr>
        <w:t xml:space="preserve">يغطين أطراف البنان من التقي</w:t>
      </w:r>
      <w:r>
        <w:rPr>
          <w:color w:val="ff0000"/>
        </w:rPr>
        <w:t xml:space="preserve">      </w:t>
      </w:r>
      <w:r>
        <w:rPr>
          <w:color w:val="ff0000"/>
        </w:rPr>
        <w:t xml:space="preserve">ويخرجن جوف الليل معتجرات</w:t>
      </w:r>
    </w:p>
    <w:p/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بغية الملتمس في تاريخ رجال أهل الأندلس،(دار الكاتب المصري - القاهرة - دار الكتاب اللبناني - بيروت - لبنان،1989،ط 1،ج 1،ص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2026-08-05T13:05:09+03:00</dcterms:created>
  <dcterms:modified xsi:type="dcterms:W3CDTF">2026-08-05T13:05:09+03:00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