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إسحاق بن حمام الوزير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بن حمام الوزير الكاتب
</w:t>
      </w:r>
    </w:p>
    <w:p>
      <w:pPr/>
      <w:r>
        <w:rPr/>
        <w:t xml:space="preserve">أبو إسحاق بن حمام الوزير الكاتب </w:t>
      </w:r>
    </w:p>
    <w:p/>
    <w:p>
      <w:pPr/>
      <w:r>
        <w:rPr/>
        <w:t xml:space="preserve">قرطبي مشهور الأدب ذو قدم في النثر والنظم، ذكره أبو الوليد بن عامر، كان حياً بعد الأربعمائة.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2026-10-03T10:26:12+03:00</dcterms:created>
  <dcterms:modified xsi:type="dcterms:W3CDTF">2026-10-03T10:26:12+03:00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