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بن قلبيل البجاني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بن قلبيل البجاني
</w:t>
      </w:r>
    </w:p>
    <w:p>
      <w:pPr/>
      <w:r>
        <w:rPr/>
        <w:t xml:space="preserve">أبو محمد بن قلبيل البجاني </w:t>
      </w:r>
    </w:p>
    <w:p/>
    <w:p>
      <w:pPr/>
      <w:r>
        <w:rPr/>
        <w:t xml:space="preserve">أديب شاعر، له كتاب في القوافي، قال أبو عبد الله محمد بن أبي نصر: وقد رأيته وأنشدني من شعره في الرياض أبياتاً، منها:</w:t>
      </w:r>
    </w:p>
    <w:p/>
    <w:p>
      <w:pPr>
        <w:jc w:val="center"/>
      </w:pPr>
      <w:r>
        <w:rPr>
          <w:color w:val="ff0000"/>
        </w:rPr>
        <w:t xml:space="preserve">ضحك الربيع بروضة وسمية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وافتر عن روض أنيق يزهر</w:t>
      </w:r>
    </w:p>
    <w:p/>
    <w:p>
      <w:pPr>
        <w:jc w:val="center"/>
      </w:pPr>
      <w:r>
        <w:rPr>
          <w:color w:val="ff0000"/>
        </w:rPr>
        <w:t xml:space="preserve">فكأنه زهر النجوم إذا بدت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وكأنها في الترب وشي أخضر</w:t>
      </w:r>
    </w:p>
    <w:p/>
    <w:p>
      <w:pPr>
        <w:jc w:val="center"/>
      </w:pPr>
      <w:r>
        <w:rPr>
          <w:color w:val="ff0000"/>
        </w:rPr>
        <w:t xml:space="preserve">وكأن عرف نسيمها عند الصبا</w:t>
      </w:r>
      <w:r>
        <w:rPr>
          <w:color w:val="ff0000"/>
        </w:rPr>
        <w:t xml:space="preserve">      </w:t>
      </w:r>
      <w:r>
        <w:rPr>
          <w:color w:val="ff0000"/>
        </w:rPr>
        <w:t xml:space="preserve">عرف العبير يفوح فيه العنبر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2026-10-03T10:25:23+03:00</dcterms:created>
  <dcterms:modified xsi:type="dcterms:W3CDTF">2026-10-03T10:25:23+03:00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