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هشام بن حسين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هشام بن حسين
</w:t>
      </w:r>
    </w:p>
    <w:p>
      <w:pPr/>
      <w:r>
        <w:rPr/>
        <w:t xml:space="preserve">هشام بن حسين </w:t>
      </w:r>
    </w:p>
    <w:p/>
    <w:p>
      <w:pPr/>
      <w:r>
        <w:rPr/>
        <w:t xml:space="preserve">طليطلي، رحل إلى مصر وسمع من عبد الرحمن بن القاسم وأشهب بن عبد العزيز، مات قريباً من سنة عشرين ومائتين.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بغية الملتمس في تاريخ رجال أهل الأندلس،(دار الكاتب المصري - القاهرة - دار الكتاب اللبناني - بيروت - لبنان،1989،ط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2026-10-03T11:54:41+03:00</dcterms:created>
  <dcterms:modified xsi:type="dcterms:W3CDTF">2026-10-03T11:54:41+03:00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