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منتنيل وقيل منتئل بن عفيف المرادي
</w:t>
      </w:r>
    </w:p>
    <w:p>
      <w:pPr>
        <w:jc w:val="start"/>
        <w:bidi/>
      </w:pPr>
      <w:r>
        <w:rPr>
          <w:rFonts w:ascii="arial" w:hAnsi="arial" w:eastAsia="arial" w:cs="arial"/>
          <w:sz w:val="28"/>
          <w:szCs w:val="28"/>
          <w:b w:val="1"/>
          <w:bCs w:val="1"/>
          <w:rtl/>
        </w:rPr>
        <w:t xml:space="preserve">منتنيل وقيل منتئل بن عفيف المرادي
</w:t>
      </w:r>
    </w:p>
    <w:p>
      <w:pPr/>
      <w:r>
        <w:rPr/>
        <w:t xml:space="preserve">منتنيل وقيل منتئل بن عفيف المرادي </w:t>
      </w:r>
    </w:p>
    <w:p/>
    <w:p>
      <w:pPr/>
      <w:r>
        <w:rPr/>
        <w:t xml:space="preserve">قال الحميدي: والأول أقرب وأظنه لقباً غلب عليه وكنيته أبو وهب، وهو فقيه محدث أندلسي كانت له رحلة إلى مكة واليمن رافق فيها يوسف بن يحيى المغامي وكتب عن إسحاق بن إبراهيم الدبري وعلى بن عبد العزيز البغوي وغيرهما، ورجع إلى الأندلس، فمات بها سنة سبع عشرة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2026-10-03T12:08:38+03:00</dcterms:created>
  <dcterms:modified xsi:type="dcterms:W3CDTF">2026-10-03T12:08:38+03:00</dcterms:modified>
</cp:coreProperties>
</file>

<file path=docProps/custom.xml><?xml version="1.0" encoding="utf-8"?>
<Properties xmlns="http://schemas.openxmlformats.org/officeDocument/2006/custom-properties" xmlns:vt="http://schemas.openxmlformats.org/officeDocument/2006/docPropsVTypes"/>
</file>