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مغيث بن يونس بن محمد بن مغيث أبو يونس
</w:t>
      </w:r>
    </w:p>
    <w:p>
      <w:pPr>
        <w:jc w:val="start"/>
        <w:bidi/>
      </w:pPr>
      <w:r>
        <w:rPr>
          <w:rFonts w:ascii="arial" w:hAnsi="arial" w:eastAsia="arial" w:cs="arial"/>
          <w:sz w:val="28"/>
          <w:szCs w:val="28"/>
          <w:b w:val="1"/>
          <w:bCs w:val="1"/>
          <w:rtl/>
        </w:rPr>
        <w:t xml:space="preserve">مغيث بن يونس بن محمد بن مغيث أبو يونس
</w:t>
      </w:r>
    </w:p>
    <w:p>
      <w:pPr/>
      <w:r>
        <w:rPr/>
        <w:t xml:space="preserve">مغيث بن يونس بن محمد بن مغيث أبو يونس </w:t>
      </w:r>
    </w:p>
    <w:p/>
    <w:p>
      <w:pPr/>
      <w:r>
        <w:rPr/>
        <w:t xml:space="preserve">توفى سنة اثنتين وخمسين وخمسمائة، يروي عن أبيه وأبي القاسم بن صواب وأبي بحر الأسدي وأبي الوليد بن العواد وغيرهم وشوور بقرطبة مدة وشهر بنفسه وبيته النبيه الرفيع، توفي في رجب من سنة اثنتين وخمسين وخمسمائة، ومولده سنة ست وثمانين وأربعمائة.</w:t>
      </w:r>
    </w:p>
    <w:p>
      <w:pPr>
        <w:jc w:val="start"/>
        <w:bidi/>
      </w:pPr>
      <w:r>
        <w:rPr>
          <w:sz w:val="24"/>
          <w:szCs w:val="24"/>
          <w:b w:val="1"/>
          <w:bCs w:val="1"/>
          <w:rtl/>
        </w:rPr>
        <w:t xml:space="preserve">
بغية الملتمس في تاريخ رجال أهل الأندلس،(دار الكاتب المصري - القاهرة - دار الكتاب اللبناني - بيروت - لبنان،1989،ط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2026-10-03T13:00:28+03:00</dcterms:created>
  <dcterms:modified xsi:type="dcterms:W3CDTF">2026-10-03T13:00:28+03:00</dcterms:modified>
</cp:coreProperties>
</file>

<file path=docProps/custom.xml><?xml version="1.0" encoding="utf-8"?>
<Properties xmlns="http://schemas.openxmlformats.org/officeDocument/2006/custom-properties" xmlns:vt="http://schemas.openxmlformats.org/officeDocument/2006/docPropsVTypes"/>
</file>