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غالب بن محمد القيسي القطيني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غالب بن محمد القيسي القطيني
</w:t>
      </w:r>
    </w:p>
    <w:p>
      <w:pPr/>
      <w:r>
        <w:rPr/>
        <w:t xml:space="preserve">غالب بن محمد القيسي القطيني </w:t>
      </w:r>
    </w:p>
    <w:p/>
    <w:p>
      <w:pPr/>
      <w:r>
        <w:rPr/>
        <w:t xml:space="preserve">وقطين قرية في جزيرة ميورقة ينسب إليها، نزيل دانية تصدى بها لإقراء القرآن والأدب، وكان من أهل العفاف والتصاون.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2026-08-05T17:02:20+03:00</dcterms:created>
  <dcterms:modified xsi:type="dcterms:W3CDTF">2026-08-05T17:02:20+03:00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