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العزيز بن خلف بن أبي العيش القيسي أبو حفص القاضي بلورقة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العزيز بن خلف بن أبي العيش القيسي أبو حفص القاضي بلورقة
</w:t>
      </w:r>
    </w:p>
    <w:p>
      <w:pPr/>
      <w:r>
        <w:rPr/>
        <w:t xml:space="preserve">عمر بن عبد العزيز بن خلف بن أبي العيش القيسي أبو حفص القاضي بلورقة </w:t>
      </w:r>
    </w:p>
    <w:p/>
    <w:p>
      <w:pPr>
        <w:jc w:val="center"/>
      </w:pPr>
      <w:r>
        <w:rPr>
          <w:color w:val="ff0000"/>
        </w:rPr>
        <w:t xml:space="preserve">لورقي مقرئ مجود متقن، جمعت عليه بعض كتاب الله العزيز بلورقة، وكان عارفاً بالقراءات توفى سنة 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وسبعين وخمسمائة.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2026-08-05T17:30:19+03:00</dcterms:created>
  <dcterms:modified xsi:type="dcterms:W3CDTF">2026-08-05T17:30:19+03:00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