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العزيز بن خلف بن أبي العيش القيسي أبو حفص القاضي بلورقة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العزيز بن خلف بن أبي العيش القيسي أبو حفص القاضي بلورقة
</w:t>
      </w:r>
    </w:p>
    <w:p>
      <w:pPr/>
      <w:r>
        <w:rPr/>
        <w:t xml:space="preserve">عمر بن عبد العزيز بن خلف بن أبي العيش القيسي أبو حفص القاضي بلورقة </w:t>
      </w:r>
    </w:p>
    <w:p/>
    <w:p>
      <w:pPr>
        <w:jc w:val="center"/>
      </w:pPr>
      <w:r>
        <w:rPr>
          <w:color w:val="ff0000"/>
        </w:rPr>
        <w:t xml:space="preserve">لورقي مقرئ مجود متقن، جمعت عليه بعض كتاب الله العزيز بلورقة، وكان عارفاً بالقراءات توفى سنة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وسبعين وخمسمائة.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2026-10-03T15:56:19+03:00</dcterms:created>
  <dcterms:modified xsi:type="dcterms:W3CDTF">2026-10-03T15:56:19+03:00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