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محمد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العبدري
</w:t>
      </w:r>
    </w:p>
    <w:p>
      <w:pPr/>
      <w:r>
        <w:rPr/>
        <w:t xml:space="preserve">عيسى بن محمد العبدري </w:t>
      </w:r>
    </w:p>
    <w:p/>
    <w:p>
      <w:pPr/>
      <w:r>
        <w:rPr/>
        <w:t xml:space="preserve">سكن ألش من نظر تدمير أديب شاعر أنشدني من سمعه ينشد على قبر الفقيه أبي عمرو خفاجة لابن عبد الرحمن أبياتاً يرثيه بها منها:</w:t>
      </w:r>
    </w:p>
    <w:p/>
    <w:p>
      <w:pPr>
        <w:jc w:val="center"/>
      </w:pPr>
      <w:r>
        <w:rPr>
          <w:color w:val="ff0000"/>
        </w:rPr>
        <w:t xml:space="preserve">أيا حسرتا ماذا تواريه بالأرض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الوجنة الحسناء والبدن الغض</w:t>
      </w:r>
    </w:p>
    <w:p/>
    <w:p>
      <w:pPr>
        <w:jc w:val="center"/>
      </w:pPr>
      <w:r>
        <w:rPr>
          <w:color w:val="ff0000"/>
        </w:rPr>
        <w:t xml:space="preserve">تكاثرت الأموات والطين فوق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خواتم حتى يأذن الله بالغض</w:t>
      </w:r>
    </w:p>
    <w:p/>
    <w:p>
      <w:pPr>
        <w:jc w:val="center"/>
      </w:pPr>
      <w:r>
        <w:rPr>
          <w:color w:val="ff0000"/>
        </w:rPr>
        <w:t xml:space="preserve">ومن بعد تحريك الشخوص وصونها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نجدها مذالات وتسكن بالقبض</w:t>
      </w:r>
    </w:p>
    <w:p/>
    <w:p>
      <w:pPr>
        <w:jc w:val="center"/>
      </w:pPr>
      <w:r>
        <w:rPr>
          <w:color w:val="ff0000"/>
        </w:rPr>
        <w:t xml:space="preserve">مركبها ينحل عنها لحكمة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وينقض كرها بالردى أيما نقض</w:t>
      </w:r>
    </w:p>
    <w:p/>
    <w:p>
      <w:pPr/>
      <w:r>
        <w:rPr/>
        <w:t xml:space="preserve">وهي طويلة.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2026-08-05T17:01:59+03:00</dcterms:created>
  <dcterms:modified xsi:type="dcterms:W3CDTF">2026-08-05T17:01:59+03:00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